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076"/>
        <w:gridCol w:w="4284"/>
      </w:tblGrid>
      <w:tr w:rsidR="000219E6" w:rsidRPr="001B7A02" w:rsidTr="000219E6">
        <w:trPr>
          <w:trHeight w:val="762"/>
        </w:trPr>
        <w:tc>
          <w:tcPr>
            <w:tcW w:w="5076" w:type="dxa"/>
            <w:tcMar>
              <w:top w:w="0" w:type="dxa"/>
              <w:left w:w="108" w:type="dxa"/>
              <w:bottom w:w="0" w:type="dxa"/>
              <w:right w:w="108" w:type="dxa"/>
            </w:tcMar>
            <w:hideMark/>
          </w:tcPr>
          <w:p w:rsidR="000219E6" w:rsidRDefault="000219E6" w:rsidP="00A04FDA">
            <w:pPr>
              <w:rPr>
                <w:rFonts w:eastAsiaTheme="minorEastAsia"/>
                <w:noProof/>
                <w:color w:val="000000"/>
              </w:rPr>
            </w:pPr>
            <w:r w:rsidRPr="00633BE6">
              <w:rPr>
                <w:rFonts w:eastAsiaTheme="minorEastAsia"/>
                <w:noProof/>
                <w:color w:val="000000"/>
              </w:rPr>
              <w:drawing>
                <wp:inline distT="0" distB="0" distL="0" distR="0" wp14:anchorId="01CB160B" wp14:editId="67196841">
                  <wp:extent cx="3085465" cy="2253615"/>
                  <wp:effectExtent l="0" t="0" r="635" b="0"/>
                  <wp:docPr id="2" name="Picture 2" descr="C:\KIM'S DOCUMENTS\SP SALES\2021\1.1 Website\Ki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IM'S DOCUMENTS\SP SALES\2021\1.1 Website\Kim'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5465" cy="2253615"/>
                          </a:xfrm>
                          <a:prstGeom prst="rect">
                            <a:avLst/>
                          </a:prstGeom>
                          <a:noFill/>
                          <a:ln>
                            <a:noFill/>
                          </a:ln>
                        </pic:spPr>
                      </pic:pic>
                    </a:graphicData>
                  </a:graphic>
                </wp:inline>
              </w:drawing>
            </w:r>
          </w:p>
        </w:tc>
        <w:tc>
          <w:tcPr>
            <w:tcW w:w="4284" w:type="dxa"/>
            <w:tcMar>
              <w:top w:w="0" w:type="dxa"/>
              <w:left w:w="108" w:type="dxa"/>
              <w:bottom w:w="0" w:type="dxa"/>
              <w:right w:w="108" w:type="dxa"/>
            </w:tcMar>
            <w:vAlign w:val="center"/>
          </w:tcPr>
          <w:p w:rsidR="000219E6" w:rsidRDefault="000219E6" w:rsidP="00A04FDA">
            <w:pPr>
              <w:rPr>
                <w:rFonts w:ascii="Algerian" w:eastAsiaTheme="minorEastAsia" w:hAnsi="Algerian"/>
                <w:noProof/>
                <w:color w:val="000000"/>
              </w:rPr>
            </w:pPr>
            <w:r>
              <w:rPr>
                <w:rFonts w:eastAsiaTheme="minorEastAsia"/>
                <w:b/>
                <w:bCs/>
                <w:noProof/>
                <w:color w:val="000000"/>
              </w:rPr>
              <w:t>Clinical Representative for Standard Process and Medi Herb</w:t>
            </w:r>
          </w:p>
          <w:p w:rsidR="000219E6" w:rsidRDefault="000219E6" w:rsidP="00A04FDA">
            <w:pPr>
              <w:spacing w:line="240" w:lineRule="auto"/>
              <w:contextualSpacing/>
              <w:rPr>
                <w:rFonts w:ascii="Calibri" w:eastAsiaTheme="minorEastAsia" w:hAnsi="Calibri"/>
                <w:noProof/>
                <w:color w:val="000000"/>
                <w:sz w:val="20"/>
                <w:szCs w:val="20"/>
              </w:rPr>
            </w:pPr>
            <w:r w:rsidRPr="001A2C60">
              <w:rPr>
                <w:rFonts w:eastAsiaTheme="minorEastAsia"/>
                <w:b/>
                <w:bCs/>
                <w:noProof/>
                <w:sz w:val="20"/>
                <w:szCs w:val="20"/>
              </w:rPr>
              <w:t>C</w:t>
            </w:r>
            <w:r>
              <w:rPr>
                <w:rFonts w:eastAsiaTheme="minorEastAsia"/>
                <w:b/>
                <w:bCs/>
                <w:noProof/>
                <w:sz w:val="20"/>
                <w:szCs w:val="20"/>
              </w:rPr>
              <w:t>ell/text</w:t>
            </w:r>
            <w:r w:rsidRPr="001A2C60">
              <w:rPr>
                <w:rFonts w:eastAsiaTheme="minorEastAsia"/>
                <w:b/>
                <w:bCs/>
                <w:noProof/>
                <w:sz w:val="20"/>
                <w:szCs w:val="20"/>
              </w:rPr>
              <w:t>:</w:t>
            </w:r>
            <w:r w:rsidRPr="001A2C60">
              <w:rPr>
                <w:rFonts w:eastAsiaTheme="minorEastAsia"/>
                <w:noProof/>
                <w:sz w:val="20"/>
                <w:szCs w:val="20"/>
              </w:rPr>
              <w:t xml:space="preserve"> </w:t>
            </w:r>
            <w:r w:rsidR="00F46402">
              <w:rPr>
                <w:rFonts w:eastAsiaTheme="minorEastAsia"/>
                <w:noProof/>
                <w:sz w:val="20"/>
                <w:szCs w:val="20"/>
              </w:rPr>
              <w:t>650-454-4895</w:t>
            </w:r>
          </w:p>
          <w:p w:rsidR="000219E6" w:rsidRPr="001A2C60" w:rsidRDefault="000219E6" w:rsidP="00A04FDA">
            <w:pPr>
              <w:tabs>
                <w:tab w:val="left" w:pos="720"/>
              </w:tabs>
              <w:spacing w:line="240" w:lineRule="auto"/>
              <w:contextualSpacing/>
              <w:rPr>
                <w:rFonts w:ascii="Calibri" w:eastAsia="Times New Roman" w:hAnsi="Calibri" w:cs="Calibri"/>
                <w:noProof/>
              </w:rPr>
            </w:pPr>
            <w:r w:rsidRPr="001A2C60">
              <w:rPr>
                <w:rFonts w:ascii="Calibri" w:eastAsia="Times New Roman" w:hAnsi="Calibri"/>
                <w:noProof/>
              </w:rPr>
              <w:t>Order: 1 800 558-8740</w:t>
            </w:r>
          </w:p>
          <w:p w:rsidR="000219E6" w:rsidRPr="001A75BB" w:rsidRDefault="001228C9" w:rsidP="00A04FDA">
            <w:pPr>
              <w:tabs>
                <w:tab w:val="left" w:pos="720"/>
              </w:tabs>
              <w:spacing w:line="240" w:lineRule="auto"/>
              <w:contextualSpacing/>
              <w:rPr>
                <w:rFonts w:ascii="Calibri" w:eastAsia="Times New Roman" w:hAnsi="Calibri"/>
                <w:noProof/>
              </w:rPr>
            </w:pPr>
            <w:hyperlink r:id="rId5" w:history="1">
              <w:r w:rsidR="000219E6" w:rsidRPr="001A75BB">
                <w:rPr>
                  <w:rStyle w:val="Hyperlink"/>
                  <w:rFonts w:ascii="Calibri" w:eastAsia="Times New Roman" w:hAnsi="Calibri"/>
                  <w:noProof/>
                  <w:color w:val="auto"/>
                  <w:u w:val="none"/>
                </w:rPr>
                <w:t>sporders@standardprocess.com</w:t>
              </w:r>
            </w:hyperlink>
          </w:p>
          <w:p w:rsidR="00B777DC" w:rsidRPr="00EB7A5C" w:rsidRDefault="006B5EA0" w:rsidP="00A04FDA">
            <w:pPr>
              <w:tabs>
                <w:tab w:val="left" w:pos="720"/>
              </w:tabs>
              <w:spacing w:line="240" w:lineRule="auto"/>
              <w:contextualSpacing/>
              <w:rPr>
                <w:rStyle w:val="Hyperlink"/>
                <w:rFonts w:ascii="Calibri" w:eastAsia="Times New Roman" w:hAnsi="Calibri"/>
                <w:noProof/>
                <w:color w:val="auto"/>
                <w:u w:val="none"/>
              </w:rPr>
            </w:pPr>
            <w:r>
              <w:rPr>
                <w:rStyle w:val="Hyperlink"/>
                <w:rFonts w:ascii="Calibri" w:eastAsia="Times New Roman" w:hAnsi="Calibri"/>
                <w:noProof/>
                <w:color w:val="auto"/>
              </w:rPr>
              <w:t>kim@kimsperryconsulting.com</w:t>
            </w:r>
          </w:p>
          <w:p w:rsidR="000219E6" w:rsidRDefault="001228C9" w:rsidP="00A04FDA">
            <w:pPr>
              <w:tabs>
                <w:tab w:val="left" w:pos="720"/>
              </w:tabs>
              <w:spacing w:line="240" w:lineRule="auto"/>
              <w:contextualSpacing/>
              <w:rPr>
                <w:rFonts w:ascii="Calibri" w:eastAsia="Times New Roman" w:hAnsi="Calibri"/>
                <w:noProof/>
              </w:rPr>
            </w:pPr>
            <w:hyperlink r:id="rId6" w:history="1">
              <w:r w:rsidR="00346E2B" w:rsidRPr="00346E2B">
                <w:rPr>
                  <w:rStyle w:val="Hyperlink"/>
                  <w:rFonts w:ascii="Calibri" w:eastAsia="Times New Roman" w:hAnsi="Calibri"/>
                  <w:noProof/>
                  <w:color w:val="auto"/>
                </w:rPr>
                <w:t>www.kimsperryconsulting.com</w:t>
              </w:r>
            </w:hyperlink>
          </w:p>
          <w:p w:rsidR="00346E2B" w:rsidRPr="001B7A02" w:rsidRDefault="00346E2B" w:rsidP="00A04FDA">
            <w:pPr>
              <w:tabs>
                <w:tab w:val="left" w:pos="720"/>
              </w:tabs>
              <w:spacing w:line="240" w:lineRule="auto"/>
              <w:contextualSpacing/>
              <w:rPr>
                <w:rFonts w:ascii="Calibri" w:eastAsia="Times New Roman" w:hAnsi="Calibri"/>
                <w:noProof/>
                <w:color w:val="1F497D"/>
              </w:rPr>
            </w:pPr>
          </w:p>
        </w:tc>
      </w:tr>
    </w:tbl>
    <w:p w:rsidR="000219E6" w:rsidRDefault="000219E6" w:rsidP="000219E6">
      <w:r>
        <w:rPr>
          <w:rFonts w:ascii="Arial" w:hAnsi="Arial" w:cs="Arial"/>
          <w:b/>
          <w:i/>
          <w:sz w:val="24"/>
          <w:szCs w:val="24"/>
        </w:rPr>
        <w:t>STANDARD PROCESS CALCIFOOD WAFERS</w:t>
      </w:r>
      <w:r w:rsidR="00A4566A" w:rsidRPr="00750FA2">
        <w:rPr>
          <w:rFonts w:ascii="Arial" w:hAnsi="Arial" w:cs="Arial"/>
          <w:b/>
          <w:i/>
          <w:sz w:val="24"/>
          <w:szCs w:val="24"/>
        </w:rPr>
        <w:t>–</w:t>
      </w:r>
      <w:r w:rsidRPr="00750FA2">
        <w:rPr>
          <w:rFonts w:ascii="Arial" w:hAnsi="Arial" w:cs="Arial"/>
          <w:b/>
          <w:i/>
          <w:sz w:val="24"/>
          <w:szCs w:val="24"/>
        </w:rPr>
        <w:t xml:space="preserve">  </w:t>
      </w:r>
      <w:r w:rsidR="00750FA2" w:rsidRPr="00750FA2">
        <w:rPr>
          <w:rFonts w:ascii="Arial" w:hAnsi="Arial" w:cs="Arial"/>
          <w:b/>
          <w:i/>
          <w:sz w:val="24"/>
          <w:szCs w:val="24"/>
        </w:rPr>
        <w:t xml:space="preserve"> for hair, teeth</w:t>
      </w:r>
      <w:r w:rsidR="001228C9">
        <w:rPr>
          <w:rFonts w:ascii="Arial" w:hAnsi="Arial" w:cs="Arial"/>
          <w:b/>
          <w:i/>
          <w:sz w:val="24"/>
          <w:szCs w:val="24"/>
        </w:rPr>
        <w:t>, bones</w:t>
      </w:r>
      <w:bookmarkStart w:id="0" w:name="_GoBack"/>
      <w:bookmarkEnd w:id="0"/>
      <w:r w:rsidR="00750FA2" w:rsidRPr="00750FA2">
        <w:rPr>
          <w:rFonts w:ascii="Arial" w:hAnsi="Arial" w:cs="Arial"/>
          <w:b/>
          <w:i/>
          <w:sz w:val="24"/>
          <w:szCs w:val="24"/>
        </w:rPr>
        <w:t xml:space="preserve"> and nails</w:t>
      </w:r>
      <w:r w:rsidR="00750FA2">
        <w:t xml:space="preserve">! Source </w:t>
      </w:r>
      <w:r>
        <w:t xml:space="preserve">of </w:t>
      </w:r>
      <w:r w:rsidR="004A7E8A">
        <w:t xml:space="preserve">keratin, </w:t>
      </w:r>
      <w:r w:rsidR="00BD7DD0">
        <w:t>glucosamine/</w:t>
      </w:r>
      <w:r>
        <w:t>chondroitin sulphate, raw bone protein, bone marrow, collagen and gelatin- considered to be a bone broth in a tablet/</w:t>
      </w:r>
      <w:r w:rsidR="00970463">
        <w:t>powder</w:t>
      </w:r>
      <w:r>
        <w:t xml:space="preserve"> form.</w:t>
      </w:r>
    </w:p>
    <w:p w:rsidR="003D6CC0" w:rsidRPr="003D6CC0" w:rsidRDefault="003D6CC0" w:rsidP="000219E6">
      <w:pPr>
        <w:rPr>
          <w:color w:val="000000"/>
          <w:shd w:val="clear" w:color="auto" w:fill="FFFFFF"/>
        </w:rPr>
      </w:pPr>
      <w:r w:rsidRPr="003D6CC0">
        <w:rPr>
          <w:color w:val="000000"/>
          <w:shd w:val="clear" w:color="auto" w:fill="FFFFFF"/>
        </w:rPr>
        <w:t xml:space="preserve">Keratin is </w:t>
      </w:r>
      <w:r>
        <w:rPr>
          <w:color w:val="000000"/>
          <w:shd w:val="clear" w:color="auto" w:fill="FFFFFF"/>
        </w:rPr>
        <w:t>a protective</w:t>
      </w:r>
      <w:r w:rsidRPr="003D6CC0">
        <w:rPr>
          <w:color w:val="000000"/>
          <w:shd w:val="clear" w:color="auto" w:fill="FFFFFF"/>
        </w:rPr>
        <w:t xml:space="preserve"> protein that makes up your hair, skin, and nails. Ker</w:t>
      </w:r>
      <w:r w:rsidR="00855E65">
        <w:rPr>
          <w:color w:val="000000"/>
          <w:shd w:val="clear" w:color="auto" w:fill="FFFFFF"/>
        </w:rPr>
        <w:t xml:space="preserve"> </w:t>
      </w:r>
      <w:r w:rsidRPr="003D6CC0">
        <w:rPr>
          <w:color w:val="000000"/>
          <w:shd w:val="clear" w:color="auto" w:fill="FFFFFF"/>
        </w:rPr>
        <w:t xml:space="preserve">atin can also be found in your internal organs and glands. </w:t>
      </w:r>
    </w:p>
    <w:p w:rsidR="00A13296" w:rsidRDefault="00C5632A" w:rsidP="00A13296">
      <w:pPr>
        <w:rPr>
          <w:color w:val="000000"/>
          <w:shd w:val="clear" w:color="auto" w:fill="FFFFFF"/>
        </w:rPr>
      </w:pPr>
      <w:r w:rsidRPr="00C5632A">
        <w:rPr>
          <w:color w:val="000000"/>
          <w:shd w:val="clear" w:color="auto" w:fill="FFFFFF"/>
        </w:rPr>
        <w:t>Glucosamine helps to keep the cartilage around bones intact and prevent them from diminishing over time and with age.</w:t>
      </w:r>
      <w:r>
        <w:rPr>
          <w:color w:val="000000"/>
          <w:shd w:val="clear" w:color="auto" w:fill="FFFFFF"/>
        </w:rPr>
        <w:t xml:space="preserve"> </w:t>
      </w:r>
      <w:r w:rsidR="00A13296">
        <w:rPr>
          <w:color w:val="000000"/>
          <w:shd w:val="clear" w:color="auto" w:fill="FFFFFF"/>
        </w:rPr>
        <w:t>Chondroitin sulfate (CS) is a major component of many connective tissues, including cartilage, bone, skin, ligaments and tendons. Osteoarthritis (OA) is characterized by progressive structural and metabolic changes in joint tissues, mainly cartilage degradation, subchondral bone sclerosis and inflammation of synovial membrane. </w:t>
      </w:r>
    </w:p>
    <w:p w:rsidR="00A13296" w:rsidRPr="00454F3A" w:rsidRDefault="00A13296" w:rsidP="00A13296">
      <w:pPr>
        <w:rPr>
          <w:color w:val="000000"/>
          <w:u w:val="single"/>
          <w:shd w:val="clear" w:color="auto" w:fill="FFFFFF"/>
        </w:rPr>
      </w:pPr>
      <w:r>
        <w:rPr>
          <w:color w:val="000000"/>
          <w:shd w:val="clear" w:color="auto" w:fill="FFFFFF"/>
        </w:rPr>
        <w:t>CS is a sulfated glycosaminoglycan-</w:t>
      </w:r>
      <w:r w:rsidRPr="00454F3A">
        <w:rPr>
          <w:color w:val="000000"/>
          <w:u w:val="single"/>
          <w:shd w:val="clear" w:color="auto" w:fill="FFFFFF"/>
        </w:rPr>
        <w:t xml:space="preserve">responsible </w:t>
      </w:r>
      <w:r>
        <w:rPr>
          <w:color w:val="000000"/>
          <w:u w:val="single"/>
          <w:shd w:val="clear" w:color="auto" w:fill="FFFFFF"/>
        </w:rPr>
        <w:t>for many of the important bio-mechanical</w:t>
      </w:r>
      <w:r w:rsidRPr="00454F3A">
        <w:rPr>
          <w:color w:val="000000"/>
          <w:u w:val="single"/>
          <w:shd w:val="clear" w:color="auto" w:fill="FFFFFF"/>
        </w:rPr>
        <w:t xml:space="preserve"> properties of cartilage, such as resistance and elasticity. </w:t>
      </w:r>
    </w:p>
    <w:p w:rsidR="00A13296" w:rsidRPr="00F42370" w:rsidRDefault="00A13296" w:rsidP="00A13296">
      <w:pPr>
        <w:rPr>
          <w:color w:val="000000"/>
          <w:sz w:val="16"/>
          <w:szCs w:val="16"/>
          <w:shd w:val="clear" w:color="auto" w:fill="FFFFFF"/>
        </w:rPr>
      </w:pPr>
      <w:r w:rsidRPr="009B42B0">
        <w:rPr>
          <w:color w:val="000000"/>
          <w:shd w:val="clear" w:color="auto" w:fill="FFFFFF"/>
        </w:rPr>
        <w:t xml:space="preserve">CS has been reported to have anti-inflammatory effects. It was shown to inhibit in vitro the synthesis of various inflammatory intermediates, such as nitric oxide (NO) synthase, cyclooxygenase (COX)-2, microsomal prostaglandin synthase (mPGES)-1 and prostaglandin (PG) </w:t>
      </w:r>
      <w:r w:rsidRPr="00A13296">
        <w:rPr>
          <w:color w:val="000000"/>
          <w:sz w:val="16"/>
          <w:szCs w:val="16"/>
          <w:shd w:val="clear" w:color="auto" w:fill="FFFFFF"/>
        </w:rPr>
        <w:t>E2 [</w:t>
      </w:r>
      <w:hyperlink r:id="rId7" w:anchor="bibr7-1759720X10383076" w:history="1">
        <w:r w:rsidRPr="00A13296">
          <w:rPr>
            <w:color w:val="000000"/>
            <w:sz w:val="16"/>
            <w:szCs w:val="16"/>
            <w:shd w:val="clear" w:color="auto" w:fill="FFFFFF"/>
          </w:rPr>
          <w:t>Campo </w:t>
        </w:r>
        <w:r w:rsidRPr="00A13296">
          <w:rPr>
            <w:i/>
            <w:iCs/>
            <w:color w:val="000000"/>
            <w:sz w:val="16"/>
            <w:szCs w:val="16"/>
            <w:shd w:val="clear" w:color="auto" w:fill="FFFFFF"/>
          </w:rPr>
          <w:t>et al.</w:t>
        </w:r>
        <w:r w:rsidRPr="00A13296">
          <w:rPr>
            <w:color w:val="000000"/>
            <w:sz w:val="16"/>
            <w:szCs w:val="16"/>
            <w:shd w:val="clear" w:color="auto" w:fill="FFFFFF"/>
          </w:rPr>
          <w:t> 2009a</w:t>
        </w:r>
      </w:hyperlink>
      <w:r w:rsidRPr="00A13296">
        <w:rPr>
          <w:color w:val="000000"/>
          <w:sz w:val="16"/>
          <w:szCs w:val="16"/>
          <w:shd w:val="clear" w:color="auto" w:fill="FFFFFF"/>
        </w:rPr>
        <w:t>; </w:t>
      </w:r>
      <w:hyperlink r:id="rId8" w:anchor="bibr42-1759720X10383076" w:history="1">
        <w:r w:rsidRPr="00A13296">
          <w:rPr>
            <w:color w:val="000000"/>
            <w:sz w:val="16"/>
            <w:szCs w:val="16"/>
            <w:shd w:val="clear" w:color="auto" w:fill="FFFFFF"/>
          </w:rPr>
          <w:t>Legendre </w:t>
        </w:r>
        <w:r w:rsidRPr="00A13296">
          <w:rPr>
            <w:i/>
            <w:iCs/>
            <w:color w:val="000000"/>
            <w:sz w:val="16"/>
            <w:szCs w:val="16"/>
            <w:shd w:val="clear" w:color="auto" w:fill="FFFFFF"/>
          </w:rPr>
          <w:t>et al.</w:t>
        </w:r>
        <w:r w:rsidRPr="00A13296">
          <w:rPr>
            <w:color w:val="000000"/>
            <w:sz w:val="16"/>
            <w:szCs w:val="16"/>
            <w:shd w:val="clear" w:color="auto" w:fill="FFFFFF"/>
          </w:rPr>
          <w:t> 2008</w:t>
        </w:r>
      </w:hyperlink>
      <w:r w:rsidRPr="00A13296">
        <w:rPr>
          <w:color w:val="000000"/>
          <w:sz w:val="16"/>
          <w:szCs w:val="16"/>
          <w:shd w:val="clear" w:color="auto" w:fill="FFFFFF"/>
        </w:rPr>
        <w:t>; </w:t>
      </w:r>
      <w:hyperlink r:id="rId9" w:anchor="bibr14-1759720X10383076" w:history="1">
        <w:r w:rsidRPr="00A13296">
          <w:rPr>
            <w:color w:val="000000"/>
            <w:sz w:val="16"/>
            <w:szCs w:val="16"/>
            <w:shd w:val="clear" w:color="auto" w:fill="FFFFFF"/>
          </w:rPr>
          <w:t>Chan </w:t>
        </w:r>
        <w:r w:rsidRPr="00A13296">
          <w:rPr>
            <w:i/>
            <w:iCs/>
            <w:color w:val="000000"/>
            <w:sz w:val="16"/>
            <w:szCs w:val="16"/>
            <w:shd w:val="clear" w:color="auto" w:fill="FFFFFF"/>
          </w:rPr>
          <w:t>et al.</w:t>
        </w:r>
        <w:r w:rsidRPr="00A13296">
          <w:rPr>
            <w:color w:val="000000"/>
            <w:sz w:val="16"/>
            <w:szCs w:val="16"/>
            <w:shd w:val="clear" w:color="auto" w:fill="FFFFFF"/>
          </w:rPr>
          <w:t> 2005b</w:t>
        </w:r>
      </w:hyperlink>
      <w:r w:rsidRPr="00A13296">
        <w:rPr>
          <w:color w:val="000000"/>
          <w:sz w:val="16"/>
          <w:szCs w:val="16"/>
          <w:shd w:val="clear" w:color="auto" w:fill="FFFFFF"/>
        </w:rPr>
        <w:t>; </w:t>
      </w:r>
      <w:hyperlink r:id="rId10" w:anchor="bibr3-1759720X10383076" w:history="1">
        <w:r w:rsidRPr="00A13296">
          <w:rPr>
            <w:color w:val="000000"/>
            <w:sz w:val="16"/>
            <w:szCs w:val="16"/>
            <w:shd w:val="clear" w:color="auto" w:fill="FFFFFF"/>
          </w:rPr>
          <w:t>Bassleer </w:t>
        </w:r>
        <w:r w:rsidRPr="00A13296">
          <w:rPr>
            <w:i/>
            <w:iCs/>
            <w:color w:val="000000"/>
            <w:sz w:val="16"/>
            <w:szCs w:val="16"/>
            <w:shd w:val="clear" w:color="auto" w:fill="FFFFFF"/>
          </w:rPr>
          <w:t>et al.</w:t>
        </w:r>
        <w:r w:rsidRPr="00A13296">
          <w:rPr>
            <w:color w:val="000000"/>
            <w:sz w:val="16"/>
            <w:szCs w:val="16"/>
            <w:shd w:val="clear" w:color="auto" w:fill="FFFFFF"/>
          </w:rPr>
          <w:t> 1998</w:t>
        </w:r>
      </w:hyperlink>
      <w:r w:rsidRPr="00A13296">
        <w:rPr>
          <w:color w:val="000000"/>
          <w:sz w:val="16"/>
          <w:szCs w:val="16"/>
          <w:shd w:val="clear" w:color="auto" w:fill="FFFFFF"/>
        </w:rPr>
        <w:t xml:space="preserve">]. </w:t>
      </w:r>
    </w:p>
    <w:p w:rsidR="00A13296" w:rsidRPr="00074425" w:rsidRDefault="00A13296" w:rsidP="00F42370">
      <w:pPr>
        <w:pStyle w:val="NormalWeb"/>
        <w:shd w:val="clear" w:color="auto" w:fill="FFFFFF"/>
        <w:spacing w:before="0" w:beforeAutospacing="0" w:after="165" w:afterAutospacing="0"/>
        <w:rPr>
          <w:rFonts w:asciiTheme="minorHAnsi" w:eastAsiaTheme="minorHAnsi" w:hAnsiTheme="minorHAnsi" w:cstheme="minorBidi"/>
          <w:color w:val="000000"/>
          <w:sz w:val="22"/>
          <w:szCs w:val="22"/>
          <w:shd w:val="clear" w:color="auto" w:fill="FFFFFF"/>
        </w:rPr>
      </w:pPr>
      <w:r w:rsidRPr="00074425">
        <w:rPr>
          <w:rFonts w:asciiTheme="minorHAnsi" w:eastAsiaTheme="minorHAnsi" w:hAnsiTheme="minorHAnsi" w:cstheme="minorBidi"/>
          <w:color w:val="000000"/>
          <w:sz w:val="22"/>
          <w:szCs w:val="22"/>
          <w:shd w:val="clear" w:color="auto" w:fill="FFFFFF"/>
        </w:rPr>
        <w:t>Raw bone protein is invaluable support for proper functioning of joints. This is a necessary ingredient for building new tissues and muscle structures. High-quality protein is a constituent of synovial fluid.</w:t>
      </w:r>
      <w:r w:rsidR="00F42370" w:rsidRPr="00074425">
        <w:rPr>
          <w:rFonts w:asciiTheme="minorHAnsi" w:eastAsiaTheme="minorHAnsi" w:hAnsiTheme="minorHAnsi" w:cstheme="minorBidi"/>
          <w:color w:val="000000"/>
          <w:sz w:val="22"/>
          <w:szCs w:val="22"/>
          <w:shd w:val="clear" w:color="auto" w:fill="FFFFFF"/>
        </w:rPr>
        <w:t xml:space="preserve"> </w:t>
      </w:r>
      <w:r w:rsidRPr="00074425">
        <w:rPr>
          <w:rFonts w:asciiTheme="minorHAnsi" w:eastAsiaTheme="minorHAnsi" w:hAnsiTheme="minorHAnsi" w:cstheme="minorBidi"/>
          <w:color w:val="000000"/>
          <w:sz w:val="22"/>
          <w:szCs w:val="22"/>
          <w:shd w:val="clear" w:color="auto" w:fill="FFFFFF"/>
        </w:rPr>
        <w:t xml:space="preserve">Made from spines &amp; ribs of raw veal bone-feeding this to my cat </w:t>
      </w:r>
      <w:r w:rsidR="00F42370" w:rsidRPr="00346E2B">
        <w:rPr>
          <w:rFonts w:asciiTheme="minorHAnsi" w:eastAsiaTheme="minorHAnsi" w:hAnsiTheme="minorHAnsi" w:cstheme="minorBidi"/>
          <w:color w:val="000000"/>
          <w:sz w:val="22"/>
          <w:szCs w:val="22"/>
          <w:u w:val="single"/>
          <w:shd w:val="clear" w:color="auto" w:fill="FFFFFF"/>
        </w:rPr>
        <w:t>as a paste</w:t>
      </w:r>
      <w:r w:rsidR="00F42370" w:rsidRPr="00074425">
        <w:rPr>
          <w:rFonts w:asciiTheme="minorHAnsi" w:eastAsiaTheme="minorHAnsi" w:hAnsiTheme="minorHAnsi" w:cstheme="minorBidi"/>
          <w:color w:val="000000"/>
          <w:sz w:val="22"/>
          <w:szCs w:val="22"/>
          <w:shd w:val="clear" w:color="auto" w:fill="FFFFFF"/>
        </w:rPr>
        <w:t xml:space="preserve"> </w:t>
      </w:r>
      <w:r w:rsidRPr="00074425">
        <w:rPr>
          <w:rFonts w:asciiTheme="minorHAnsi" w:eastAsiaTheme="minorHAnsi" w:hAnsiTheme="minorHAnsi" w:cstheme="minorBidi"/>
          <w:color w:val="000000"/>
          <w:sz w:val="22"/>
          <w:szCs w:val="22"/>
          <w:shd w:val="clear" w:color="auto" w:fill="FFFFFF"/>
        </w:rPr>
        <w:t xml:space="preserve">to keep her teeth strong.  She goes nuts for Calcifood wafers. Wheat germ is used to absorb the bone marrow, collagen and gelatin. </w:t>
      </w:r>
    </w:p>
    <w:p w:rsidR="00A13296" w:rsidRDefault="00A13296" w:rsidP="00A13296">
      <w:pPr>
        <w:shd w:val="clear" w:color="auto" w:fill="FFFFFF"/>
        <w:spacing w:before="225" w:after="375"/>
        <w:rPr>
          <w:color w:val="000000"/>
          <w:shd w:val="clear" w:color="auto" w:fill="FFFFFF"/>
        </w:rPr>
      </w:pPr>
      <w:r w:rsidRPr="00454F3A">
        <w:rPr>
          <w:color w:val="000000"/>
          <w:shd w:val="clear" w:color="auto" w:fill="FFFFFF"/>
        </w:rPr>
        <w:t>Collagen is the main connective tissue protein that provides the right cushioning and elasticity to the joints. Collagen forms the structure of tendons, ligaments, joints and intervertebral discs. The strength and resistance of cartilage depends from it. Proper collagen suppression prevents the occurrence of autoimmune diseases associated with the destruction of articular cartilage. This increases joint mobility and flexibility. Collagen is an indispensable bone building ingredient. Vitamin C provided better absorption of collagen.</w:t>
      </w:r>
    </w:p>
    <w:p w:rsidR="00074425" w:rsidRDefault="00074425" w:rsidP="00A13296">
      <w:pPr>
        <w:shd w:val="clear" w:color="auto" w:fill="FFFFFF"/>
        <w:spacing w:before="225" w:after="375"/>
        <w:rPr>
          <w:color w:val="000000"/>
          <w:shd w:val="clear" w:color="auto" w:fill="FFFFFF"/>
        </w:rPr>
      </w:pPr>
    </w:p>
    <w:p w:rsidR="00074425" w:rsidRPr="00454F3A" w:rsidRDefault="00074425" w:rsidP="00A13296">
      <w:pPr>
        <w:shd w:val="clear" w:color="auto" w:fill="FFFFFF"/>
        <w:spacing w:before="225" w:after="375"/>
        <w:rPr>
          <w:color w:val="000000"/>
          <w:shd w:val="clear" w:color="auto" w:fill="FFFFFF"/>
        </w:rPr>
      </w:pPr>
    </w:p>
    <w:p w:rsidR="00A13296" w:rsidRPr="00454F3A" w:rsidRDefault="00A13296" w:rsidP="00A13296">
      <w:pPr>
        <w:shd w:val="clear" w:color="auto" w:fill="FFFFFF"/>
        <w:spacing w:before="225" w:after="375"/>
        <w:rPr>
          <w:color w:val="000000"/>
          <w:shd w:val="clear" w:color="auto" w:fill="FFFFFF"/>
        </w:rPr>
      </w:pPr>
      <w:r>
        <w:rPr>
          <w:color w:val="000000"/>
          <w:shd w:val="clear" w:color="auto" w:fill="FFFFFF"/>
        </w:rPr>
        <w:t>Bone protein needs to be raw. Calcifood is n</w:t>
      </w:r>
      <w:r w:rsidRPr="00454F3A">
        <w:rPr>
          <w:color w:val="000000"/>
          <w:shd w:val="clear" w:color="auto" w:fill="FFFFFF"/>
        </w:rPr>
        <w:t xml:space="preserve">ot to be confused with bone meal products which are steamed/dead.  Phosphorus important for energy. No energy + exhaustion + feeling worn out = potential need for phosphorus. Rice bran source of riboflavin- in a riboflavin deficiency, calcium has a tendency to accumulate in soft tissues where it does not belong; the most profound effect of this is cataracts. </w:t>
      </w:r>
    </w:p>
    <w:p w:rsidR="00BC1564" w:rsidRDefault="00BC1564" w:rsidP="00A13296">
      <w:pPr>
        <w:rPr>
          <w:color w:val="000000"/>
          <w:shd w:val="clear" w:color="auto" w:fill="FFFFFF"/>
        </w:rPr>
      </w:pPr>
    </w:p>
    <w:p w:rsidR="00BC1564" w:rsidRDefault="00BC1564" w:rsidP="00A13296">
      <w:pPr>
        <w:rPr>
          <w:color w:val="000000"/>
          <w:shd w:val="clear" w:color="auto" w:fill="FFFFFF"/>
        </w:rPr>
      </w:pPr>
    </w:p>
    <w:p w:rsidR="00A13296" w:rsidRPr="00454F3A" w:rsidRDefault="00A13296" w:rsidP="00A13296">
      <w:pPr>
        <w:rPr>
          <w:color w:val="000000"/>
          <w:shd w:val="clear" w:color="auto" w:fill="FFFFFF"/>
        </w:rPr>
      </w:pPr>
      <w:r w:rsidRPr="00454F3A">
        <w:rPr>
          <w:color w:val="000000"/>
          <w:shd w:val="clear" w:color="auto" w:fill="FFFFFF"/>
        </w:rPr>
        <w:t>This bone–building food is a source of rare amino acids, consisting of 50 percent protein and 50 percent minerals. The protein derived from the raw bone meal in </w:t>
      </w:r>
      <w:hyperlink r:id="rId11" w:history="1">
        <w:r w:rsidRPr="00454F3A">
          <w:rPr>
            <w:color w:val="000000"/>
            <w:shd w:val="clear" w:color="auto" w:fill="FFFFFF"/>
          </w:rPr>
          <w:t>Calcifood Powder</w:t>
        </w:r>
      </w:hyperlink>
      <w:r w:rsidRPr="00454F3A">
        <w:rPr>
          <w:color w:val="000000"/>
          <w:shd w:val="clear" w:color="auto" w:fill="FFFFFF"/>
        </w:rPr>
        <w:t> is high in amino acids that are commonly lost in cooking.</w:t>
      </w:r>
    </w:p>
    <w:p w:rsidR="00A13296" w:rsidRPr="00454F3A" w:rsidRDefault="00A13296" w:rsidP="00A13296">
      <w:pPr>
        <w:rPr>
          <w:color w:val="000000"/>
          <w:shd w:val="clear" w:color="auto" w:fill="FFFFFF"/>
        </w:rPr>
      </w:pPr>
      <w:r w:rsidRPr="00454F3A">
        <w:rPr>
          <w:color w:val="000000"/>
          <w:shd w:val="clear" w:color="auto" w:fill="FFFFFF"/>
        </w:rPr>
        <w:t>Supports protein metabolism and immune system response function as well as skeletal and muscular and cellular health. Also supports healthy protein metabolism and contains the essential amino acid lysine, needed for proper collagen formation.</w:t>
      </w:r>
    </w:p>
    <w:p w:rsidR="00A13296" w:rsidRDefault="00A13296" w:rsidP="00A13296">
      <w:pPr>
        <w:pStyle w:val="NormalWeb"/>
        <w:shd w:val="clear" w:color="auto" w:fill="FFFFFF"/>
        <w:spacing w:before="0" w:beforeAutospacing="0" w:after="165" w:afterAutospacing="0"/>
        <w:rPr>
          <w:rFonts w:ascii="PFCentroSansPro-Regular" w:hAnsi="PFCentroSansPro-Regular"/>
          <w:color w:val="333333"/>
        </w:rPr>
      </w:pPr>
      <w:r w:rsidRPr="00A4341C">
        <w:rPr>
          <w:rFonts w:ascii="PFCentroSansPro-Regular" w:hAnsi="PFCentroSansPro-Regular"/>
          <w:noProof/>
          <w:color w:val="333333"/>
        </w:rPr>
        <w:drawing>
          <wp:inline distT="0" distB="0" distL="0" distR="0">
            <wp:extent cx="4276725" cy="2581275"/>
            <wp:effectExtent l="0" t="0" r="9525" b="9525"/>
            <wp:docPr id="1" name="Picture 1" descr="https://my.standardprocess.com/StandardProcess/media/Standard-Process-Charts/calcifood-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standardprocess.com/StandardProcess/media/Standard-Process-Charts/calcifood-chart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581275"/>
                    </a:xfrm>
                    <a:prstGeom prst="rect">
                      <a:avLst/>
                    </a:prstGeom>
                    <a:noFill/>
                    <a:ln>
                      <a:noFill/>
                    </a:ln>
                  </pic:spPr>
                </pic:pic>
              </a:graphicData>
            </a:graphic>
          </wp:inline>
        </w:drawing>
      </w:r>
    </w:p>
    <w:p w:rsidR="00A13296" w:rsidRPr="00D31B4E" w:rsidRDefault="00A13296" w:rsidP="00A13296">
      <w:pPr>
        <w:pStyle w:val="NormalWeb"/>
        <w:shd w:val="clear" w:color="auto" w:fill="FFFFFF"/>
        <w:spacing w:before="0" w:beforeAutospacing="0" w:after="165" w:afterAutospacing="0"/>
        <w:rPr>
          <w:rFonts w:asciiTheme="minorHAnsi" w:eastAsiaTheme="minorHAnsi" w:hAnsiTheme="minorHAnsi" w:cstheme="minorBidi"/>
          <w:color w:val="000000"/>
          <w:sz w:val="22"/>
          <w:szCs w:val="22"/>
          <w:shd w:val="clear" w:color="auto" w:fill="FFFFFF"/>
        </w:rPr>
      </w:pPr>
      <w:r w:rsidRPr="00D31B4E">
        <w:rPr>
          <w:rFonts w:asciiTheme="minorHAnsi" w:eastAsiaTheme="minorHAnsi" w:hAnsiTheme="minorHAnsi" w:cstheme="minorBidi"/>
          <w:color w:val="000000"/>
          <w:sz w:val="22"/>
          <w:szCs w:val="22"/>
          <w:shd w:val="clear" w:color="auto" w:fill="FFFFFF"/>
        </w:rPr>
        <w:t>In a retrospective study, Calcifood, Ostrophin PMG, and Cataplex D maintained bone-resorption rates in elderly subjects, as measured by two markers of bone health.†</w:t>
      </w:r>
    </w:p>
    <w:p w:rsidR="00513535" w:rsidRPr="00D31B4E" w:rsidRDefault="00513535" w:rsidP="00A13296">
      <w:pPr>
        <w:pStyle w:val="PlainText"/>
        <w:rPr>
          <w:rFonts w:asciiTheme="minorHAnsi" w:eastAsiaTheme="minorHAnsi" w:hAnsiTheme="minorHAnsi" w:cstheme="minorBidi"/>
          <w:color w:val="000000"/>
          <w:szCs w:val="22"/>
          <w:shd w:val="clear" w:color="auto" w:fill="FFFFFF"/>
        </w:rPr>
      </w:pPr>
      <w:r w:rsidRPr="00D31B4E">
        <w:rPr>
          <w:rFonts w:asciiTheme="minorHAnsi" w:eastAsiaTheme="minorHAnsi" w:hAnsiTheme="minorHAnsi" w:cstheme="minorBidi"/>
          <w:color w:val="000000"/>
          <w:szCs w:val="22"/>
          <w:u w:val="single"/>
          <w:shd w:val="clear" w:color="auto" w:fill="FFFFFF"/>
        </w:rPr>
        <w:t>Calcifood Success Story</w:t>
      </w:r>
      <w:r w:rsidR="00D31B4E">
        <w:rPr>
          <w:rFonts w:asciiTheme="minorHAnsi" w:eastAsiaTheme="minorHAnsi" w:hAnsiTheme="minorHAnsi" w:cstheme="minorBidi"/>
          <w:color w:val="000000"/>
          <w:szCs w:val="22"/>
          <w:shd w:val="clear" w:color="auto" w:fill="FFFFFF"/>
        </w:rPr>
        <w:t xml:space="preserve"> provided by W.</w:t>
      </w:r>
      <w:r w:rsidRPr="00D31B4E">
        <w:rPr>
          <w:rFonts w:asciiTheme="minorHAnsi" w:eastAsiaTheme="minorHAnsi" w:hAnsiTheme="minorHAnsi" w:cstheme="minorBidi"/>
          <w:color w:val="000000"/>
          <w:szCs w:val="22"/>
          <w:shd w:val="clear" w:color="auto" w:fill="FFFFFF"/>
        </w:rPr>
        <w:t xml:space="preserve"> Friedman in Marin County:</w:t>
      </w:r>
    </w:p>
    <w:p w:rsidR="00513535" w:rsidRPr="00D31B4E" w:rsidRDefault="00513535" w:rsidP="00A13296">
      <w:pPr>
        <w:pStyle w:val="PlainText"/>
        <w:rPr>
          <w:rFonts w:asciiTheme="minorHAnsi" w:eastAsiaTheme="minorHAnsi" w:hAnsiTheme="minorHAnsi" w:cstheme="minorBidi"/>
          <w:color w:val="000000"/>
          <w:szCs w:val="22"/>
          <w:shd w:val="clear" w:color="auto" w:fill="FFFFFF"/>
        </w:rPr>
      </w:pPr>
    </w:p>
    <w:p w:rsidR="00A13296" w:rsidRPr="00D31B4E" w:rsidRDefault="00513535" w:rsidP="00BC1564">
      <w:pPr>
        <w:pStyle w:val="PlainText"/>
        <w:jc w:val="both"/>
        <w:rPr>
          <w:rFonts w:asciiTheme="minorHAnsi" w:eastAsiaTheme="minorHAnsi" w:hAnsiTheme="minorHAnsi" w:cstheme="minorBidi"/>
          <w:color w:val="000000"/>
          <w:szCs w:val="22"/>
          <w:shd w:val="clear" w:color="auto" w:fill="FFFFFF"/>
        </w:rPr>
      </w:pPr>
      <w:r w:rsidRPr="00D31B4E">
        <w:rPr>
          <w:rFonts w:asciiTheme="minorHAnsi" w:eastAsiaTheme="minorHAnsi" w:hAnsiTheme="minorHAnsi" w:cstheme="minorBidi"/>
          <w:color w:val="000000"/>
          <w:szCs w:val="22"/>
          <w:shd w:val="clear" w:color="auto" w:fill="FFFFFF"/>
        </w:rPr>
        <w:t>“</w:t>
      </w:r>
      <w:r w:rsidR="00D31B4E">
        <w:rPr>
          <w:rFonts w:asciiTheme="minorHAnsi" w:eastAsiaTheme="minorHAnsi" w:hAnsiTheme="minorHAnsi" w:cstheme="minorBidi"/>
          <w:color w:val="000000"/>
          <w:szCs w:val="22"/>
          <w:shd w:val="clear" w:color="auto" w:fill="FFFFFF"/>
        </w:rPr>
        <w:t>My cat LOVES C</w:t>
      </w:r>
      <w:r w:rsidR="00A13296" w:rsidRPr="00D31B4E">
        <w:rPr>
          <w:rFonts w:asciiTheme="minorHAnsi" w:eastAsiaTheme="minorHAnsi" w:hAnsiTheme="minorHAnsi" w:cstheme="minorBidi"/>
          <w:color w:val="000000"/>
          <w:szCs w:val="22"/>
          <w:shd w:val="clear" w:color="auto" w:fill="FFFFFF"/>
        </w:rPr>
        <w:t>alcif</w:t>
      </w:r>
      <w:r w:rsidRPr="00D31B4E">
        <w:rPr>
          <w:rFonts w:asciiTheme="minorHAnsi" w:eastAsiaTheme="minorHAnsi" w:hAnsiTheme="minorHAnsi" w:cstheme="minorBidi"/>
          <w:color w:val="000000"/>
          <w:szCs w:val="22"/>
          <w:shd w:val="clear" w:color="auto" w:fill="FFFFFF"/>
        </w:rPr>
        <w:t xml:space="preserve">ood wafers as well! </w:t>
      </w:r>
      <w:r w:rsidR="00A13296" w:rsidRPr="00D31B4E">
        <w:rPr>
          <w:rFonts w:asciiTheme="minorHAnsi" w:eastAsiaTheme="minorHAnsi" w:hAnsiTheme="minorHAnsi" w:cstheme="minorBidi"/>
          <w:color w:val="000000"/>
          <w:szCs w:val="22"/>
          <w:shd w:val="clear" w:color="auto" w:fill="FFFFFF"/>
        </w:rPr>
        <w:t>She had dental problems when I got her at about 1 year old, and lost a tooth. (she was a rescue cat that had a littler at a very yo</w:t>
      </w:r>
      <w:r w:rsidR="00D31B4E">
        <w:rPr>
          <w:rFonts w:asciiTheme="minorHAnsi" w:eastAsiaTheme="minorHAnsi" w:hAnsiTheme="minorHAnsi" w:cstheme="minorBidi"/>
          <w:color w:val="000000"/>
          <w:szCs w:val="22"/>
          <w:shd w:val="clear" w:color="auto" w:fill="FFFFFF"/>
        </w:rPr>
        <w:t>ung age, and was malnourished when I got her). I've been giving her SP B</w:t>
      </w:r>
      <w:r w:rsidR="00A13296" w:rsidRPr="00D31B4E">
        <w:rPr>
          <w:rFonts w:asciiTheme="minorHAnsi" w:eastAsiaTheme="minorHAnsi" w:hAnsiTheme="minorHAnsi" w:cstheme="minorBidi"/>
          <w:color w:val="000000"/>
          <w:szCs w:val="22"/>
          <w:shd w:val="clear" w:color="auto" w:fill="FFFFFF"/>
        </w:rPr>
        <w:t xml:space="preserve">io-dent or </w:t>
      </w:r>
      <w:r w:rsidR="00D31B4E" w:rsidRPr="00D31B4E">
        <w:rPr>
          <w:rFonts w:asciiTheme="minorHAnsi" w:eastAsiaTheme="minorHAnsi" w:hAnsiTheme="minorHAnsi" w:cstheme="minorBidi"/>
          <w:color w:val="000000"/>
          <w:szCs w:val="22"/>
          <w:shd w:val="clear" w:color="auto" w:fill="FFFFFF"/>
        </w:rPr>
        <w:t>Calcifood</w:t>
      </w:r>
      <w:r w:rsidR="00A13296" w:rsidRPr="00D31B4E">
        <w:rPr>
          <w:rFonts w:asciiTheme="minorHAnsi" w:eastAsiaTheme="minorHAnsi" w:hAnsiTheme="minorHAnsi" w:cstheme="minorBidi"/>
          <w:color w:val="000000"/>
          <w:szCs w:val="22"/>
          <w:shd w:val="clear" w:color="auto" w:fill="FFFFFF"/>
        </w:rPr>
        <w:t xml:space="preserve"> ever since (along with occasionally cleaning gums with a q-tip and various dental preparations). She never lost another tooth. She's about 14 now.</w:t>
      </w:r>
    </w:p>
    <w:p w:rsidR="005D40BC" w:rsidRDefault="00A13296" w:rsidP="00074425">
      <w:pPr>
        <w:pStyle w:val="PlainText"/>
        <w:jc w:val="both"/>
        <w:rPr>
          <w:rFonts w:asciiTheme="minorHAnsi" w:eastAsiaTheme="minorHAnsi" w:hAnsiTheme="minorHAnsi" w:cstheme="minorBidi"/>
          <w:color w:val="000000"/>
          <w:szCs w:val="22"/>
          <w:shd w:val="clear" w:color="auto" w:fill="FFFFFF"/>
        </w:rPr>
      </w:pPr>
      <w:r w:rsidRPr="00D31B4E">
        <w:rPr>
          <w:rFonts w:asciiTheme="minorHAnsi" w:eastAsiaTheme="minorHAnsi" w:hAnsiTheme="minorHAnsi" w:cstheme="minorBidi"/>
          <w:color w:val="000000"/>
          <w:szCs w:val="22"/>
          <w:shd w:val="clear" w:color="auto" w:fill="FFFFFF"/>
        </w:rPr>
        <w:t>I always "share" with her if I'm taking them. Now, every time she hears a SP process bottle shake, she perks up</w:t>
      </w:r>
      <w:r w:rsidR="00BC1564">
        <w:rPr>
          <w:rFonts w:asciiTheme="minorHAnsi" w:eastAsiaTheme="minorHAnsi" w:hAnsiTheme="minorHAnsi" w:cstheme="minorBidi"/>
          <w:color w:val="000000"/>
          <w:szCs w:val="22"/>
          <w:shd w:val="clear" w:color="auto" w:fill="FFFFFF"/>
        </w:rPr>
        <w:t>”</w:t>
      </w:r>
      <w:r w:rsidRPr="00D31B4E">
        <w:rPr>
          <w:rFonts w:asciiTheme="minorHAnsi" w:eastAsiaTheme="minorHAnsi" w:hAnsiTheme="minorHAnsi" w:cstheme="minorBidi"/>
          <w:color w:val="000000"/>
          <w:szCs w:val="22"/>
          <w:shd w:val="clear" w:color="auto" w:fill="FFFFFF"/>
        </w:rPr>
        <w:t>.</w:t>
      </w:r>
    </w:p>
    <w:p w:rsidR="00346E2B" w:rsidRDefault="00346E2B" w:rsidP="00074425">
      <w:pPr>
        <w:pStyle w:val="PlainText"/>
        <w:jc w:val="both"/>
        <w:rPr>
          <w:rFonts w:asciiTheme="minorHAnsi" w:eastAsiaTheme="minorHAnsi" w:hAnsiTheme="minorHAnsi" w:cstheme="minorBidi"/>
          <w:color w:val="000000"/>
          <w:szCs w:val="22"/>
          <w:shd w:val="clear" w:color="auto" w:fill="FFFFFF"/>
        </w:rPr>
      </w:pPr>
    </w:p>
    <w:sectPr w:rsidR="0034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FCentroSansPr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E6"/>
    <w:rsid w:val="000219E6"/>
    <w:rsid w:val="00074425"/>
    <w:rsid w:val="001228C9"/>
    <w:rsid w:val="001A75BB"/>
    <w:rsid w:val="002E6E0D"/>
    <w:rsid w:val="00346E2B"/>
    <w:rsid w:val="003D6CC0"/>
    <w:rsid w:val="00447F19"/>
    <w:rsid w:val="004A7E8A"/>
    <w:rsid w:val="00513535"/>
    <w:rsid w:val="00513DF8"/>
    <w:rsid w:val="005D40BC"/>
    <w:rsid w:val="006B5EA0"/>
    <w:rsid w:val="00750FA2"/>
    <w:rsid w:val="00794F53"/>
    <w:rsid w:val="00855E65"/>
    <w:rsid w:val="00970463"/>
    <w:rsid w:val="00A13296"/>
    <w:rsid w:val="00A4566A"/>
    <w:rsid w:val="00B777DC"/>
    <w:rsid w:val="00BC1564"/>
    <w:rsid w:val="00BD7DD0"/>
    <w:rsid w:val="00C5632A"/>
    <w:rsid w:val="00D317E5"/>
    <w:rsid w:val="00D31B4E"/>
    <w:rsid w:val="00D65CFF"/>
    <w:rsid w:val="00EB7A5C"/>
    <w:rsid w:val="00F42370"/>
    <w:rsid w:val="00F4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90FFB-3AA5-44E7-AD6D-7F5ADD55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E6"/>
    <w:pPr>
      <w:spacing w:after="160" w:line="259" w:lineRule="auto"/>
    </w:pPr>
  </w:style>
  <w:style w:type="paragraph" w:styleId="Heading4">
    <w:name w:val="heading 4"/>
    <w:basedOn w:val="Normal"/>
    <w:next w:val="Normal"/>
    <w:link w:val="Heading4Char"/>
    <w:uiPriority w:val="9"/>
    <w:semiHidden/>
    <w:unhideWhenUsed/>
    <w:qFormat/>
    <w:rsid w:val="00A13296"/>
    <w:pPr>
      <w:keepNext/>
      <w:keepLines/>
      <w:spacing w:before="40" w:after="0" w:line="240" w:lineRule="auto"/>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9E6"/>
    <w:rPr>
      <w:color w:val="0000FF"/>
      <w:u w:val="single"/>
    </w:rPr>
  </w:style>
  <w:style w:type="character" w:customStyle="1" w:styleId="Heading4Char">
    <w:name w:val="Heading 4 Char"/>
    <w:basedOn w:val="DefaultParagraphFont"/>
    <w:link w:val="Heading4"/>
    <w:uiPriority w:val="9"/>
    <w:semiHidden/>
    <w:rsid w:val="00A13296"/>
    <w:rPr>
      <w:rFonts w:ascii="Calibri Light" w:eastAsia="Times New Roman" w:hAnsi="Calibri Light" w:cs="Times New Roman"/>
      <w:i/>
      <w:iCs/>
      <w:color w:val="2E74B5"/>
    </w:rPr>
  </w:style>
  <w:style w:type="character" w:customStyle="1" w:styleId="kimsperry">
    <w:name w:val="kim sperry"/>
    <w:semiHidden/>
    <w:rsid w:val="00A13296"/>
    <w:rPr>
      <w:rFonts w:ascii="Book Antiqua" w:hAnsi="Book Antiqua"/>
      <w:b w:val="0"/>
      <w:bCs w:val="0"/>
      <w:i w:val="0"/>
      <w:iCs w:val="0"/>
      <w:strike w:val="0"/>
      <w:color w:val="800000"/>
      <w:sz w:val="24"/>
      <w:szCs w:val="24"/>
      <w:u w:val="none"/>
    </w:rPr>
  </w:style>
  <w:style w:type="paragraph" w:styleId="PlainText">
    <w:name w:val="Plain Text"/>
    <w:basedOn w:val="Normal"/>
    <w:link w:val="PlainTextChar"/>
    <w:uiPriority w:val="99"/>
    <w:unhideWhenUsed/>
    <w:rsid w:val="00A13296"/>
    <w:pPr>
      <w:spacing w:after="0" w:line="240" w:lineRule="auto"/>
      <w:jc w:val="left"/>
    </w:pPr>
    <w:rPr>
      <w:rFonts w:ascii="Arial" w:eastAsia="Calibri" w:hAnsi="Arial" w:cs="Times New Roman"/>
      <w:szCs w:val="21"/>
    </w:rPr>
  </w:style>
  <w:style w:type="character" w:customStyle="1" w:styleId="PlainTextChar">
    <w:name w:val="Plain Text Char"/>
    <w:basedOn w:val="DefaultParagraphFont"/>
    <w:link w:val="PlainText"/>
    <w:uiPriority w:val="99"/>
    <w:rsid w:val="00A13296"/>
    <w:rPr>
      <w:rFonts w:ascii="Arial" w:eastAsia="Calibri" w:hAnsi="Arial" w:cs="Times New Roman"/>
      <w:szCs w:val="21"/>
    </w:rPr>
  </w:style>
  <w:style w:type="paragraph" w:styleId="NormalWeb">
    <w:name w:val="Normal (Web)"/>
    <w:basedOn w:val="Normal"/>
    <w:uiPriority w:val="99"/>
    <w:rsid w:val="00A1329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3834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3383492/"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msperryconsulting.com" TargetMode="External"/><Relationship Id="rId11" Type="http://schemas.openxmlformats.org/officeDocument/2006/relationships/hyperlink" Target="https://www.standardprocess.com/Products/Standard-Process/Calcifood-Powder" TargetMode="External"/><Relationship Id="rId5" Type="http://schemas.openxmlformats.org/officeDocument/2006/relationships/hyperlink" Target="mailto:sporders@standardprocess.com" TargetMode="External"/><Relationship Id="rId10" Type="http://schemas.openxmlformats.org/officeDocument/2006/relationships/hyperlink" Target="https://www.ncbi.nlm.nih.gov/pmc/articles/PMC3383492/" TargetMode="External"/><Relationship Id="rId4" Type="http://schemas.openxmlformats.org/officeDocument/2006/relationships/image" Target="media/image1.png"/><Relationship Id="rId9" Type="http://schemas.openxmlformats.org/officeDocument/2006/relationships/hyperlink" Target="https://www.ncbi.nlm.nih.gov/pmc/articles/PMC33834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8</cp:revision>
  <cp:lastPrinted>2021-07-06T23:29:00Z</cp:lastPrinted>
  <dcterms:created xsi:type="dcterms:W3CDTF">2021-05-26T16:47:00Z</dcterms:created>
  <dcterms:modified xsi:type="dcterms:W3CDTF">2021-07-06T23:29:00Z</dcterms:modified>
</cp:coreProperties>
</file>