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A1" w:rsidRDefault="002D05A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5724"/>
      </w:tblGrid>
      <w:tr w:rsidR="00995C95" w:rsidRPr="001B7A02" w:rsidTr="002D05A1">
        <w:trPr>
          <w:trHeight w:val="762"/>
        </w:trPr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95" w:rsidRDefault="00995C95" w:rsidP="00D74933">
            <w:pPr>
              <w:rPr>
                <w:rFonts w:eastAsiaTheme="minorEastAsia"/>
                <w:noProof/>
                <w:color w:val="000000"/>
              </w:rPr>
            </w:pPr>
            <w:r w:rsidRPr="00633BE6">
              <w:rPr>
                <w:rFonts w:eastAsiaTheme="minorEastAsia"/>
                <w:noProof/>
                <w:color w:val="000000"/>
              </w:rPr>
              <w:drawing>
                <wp:inline distT="0" distB="0" distL="0" distR="0" wp14:anchorId="70BCB079" wp14:editId="11CB0700">
                  <wp:extent cx="3085465" cy="2253615"/>
                  <wp:effectExtent l="0" t="0" r="635" b="0"/>
                  <wp:docPr id="2" name="Picture 2" descr="C:\KIM'S DOCUMENTS\SP SALES\2021\1.1 Website\Kim'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KIM'S DOCUMENTS\SP SALES\2021\1.1 Website\Kim'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465" cy="225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C95" w:rsidRDefault="00995C95" w:rsidP="00D74933">
            <w:pPr>
              <w:rPr>
                <w:rFonts w:ascii="Algerian" w:eastAsiaTheme="minorEastAsia" w:hAnsi="Algerian"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>Clinical Representative for Standard Process and Medi Herb</w:t>
            </w:r>
          </w:p>
          <w:p w:rsidR="00995C95" w:rsidRDefault="00995C95" w:rsidP="00D74933">
            <w:pPr>
              <w:contextualSpacing/>
              <w:rPr>
                <w:rFonts w:ascii="Calibri" w:eastAsiaTheme="minorEastAsia" w:hAnsi="Calibri"/>
                <w:noProof/>
                <w:color w:val="000000"/>
                <w:sz w:val="20"/>
                <w:szCs w:val="20"/>
              </w:rPr>
            </w:pPr>
            <w:r w:rsidRPr="001A2C60">
              <w:rPr>
                <w:rFonts w:eastAsiaTheme="minorEastAsia"/>
                <w:b/>
                <w:bCs/>
                <w:noProof/>
                <w:sz w:val="20"/>
                <w:szCs w:val="20"/>
              </w:rPr>
              <w:t>C</w:t>
            </w:r>
            <w:r>
              <w:rPr>
                <w:rFonts w:eastAsiaTheme="minorEastAsia"/>
                <w:b/>
                <w:bCs/>
                <w:noProof/>
                <w:sz w:val="20"/>
                <w:szCs w:val="20"/>
              </w:rPr>
              <w:t>ell/text</w:t>
            </w:r>
            <w:r w:rsidRPr="001A2C60">
              <w:rPr>
                <w:rFonts w:eastAsiaTheme="minorEastAsia"/>
                <w:b/>
                <w:bCs/>
                <w:noProof/>
                <w:sz w:val="20"/>
                <w:szCs w:val="20"/>
              </w:rPr>
              <w:t>:</w:t>
            </w:r>
            <w:r w:rsidRPr="001A2C60">
              <w:rPr>
                <w:rFonts w:eastAsiaTheme="minorEastAsia"/>
                <w:noProof/>
                <w:sz w:val="20"/>
                <w:szCs w:val="20"/>
              </w:rPr>
              <w:t xml:space="preserve"> 650-454-4895  </w:t>
            </w:r>
          </w:p>
          <w:p w:rsidR="00995C95" w:rsidRPr="001A2C60" w:rsidRDefault="00995C95" w:rsidP="00D74933">
            <w:pPr>
              <w:tabs>
                <w:tab w:val="left" w:pos="720"/>
              </w:tabs>
              <w:contextualSpacing/>
              <w:rPr>
                <w:rFonts w:ascii="Calibri" w:eastAsia="Times New Roman" w:hAnsi="Calibri" w:cs="Calibri"/>
                <w:noProof/>
              </w:rPr>
            </w:pPr>
            <w:r w:rsidRPr="001A2C60">
              <w:rPr>
                <w:rFonts w:ascii="Calibri" w:eastAsia="Times New Roman" w:hAnsi="Calibri"/>
                <w:noProof/>
              </w:rPr>
              <w:t>Phone Order: 1 800 558-8740</w:t>
            </w:r>
          </w:p>
          <w:p w:rsidR="00995C95" w:rsidRPr="001A2C60" w:rsidRDefault="00995C95" w:rsidP="00D74933">
            <w:pPr>
              <w:tabs>
                <w:tab w:val="left" w:pos="720"/>
              </w:tabs>
              <w:contextualSpacing/>
              <w:rPr>
                <w:rFonts w:ascii="Calibri" w:eastAsia="Times New Roman" w:hAnsi="Calibri" w:cs="Times New Roman"/>
                <w:noProof/>
              </w:rPr>
            </w:pPr>
            <w:r w:rsidRPr="001A2C60">
              <w:rPr>
                <w:rFonts w:ascii="Calibri" w:eastAsia="Times New Roman" w:hAnsi="Calibri"/>
                <w:noProof/>
              </w:rPr>
              <w:t>Fax order: 800-438-3799</w:t>
            </w:r>
          </w:p>
          <w:p w:rsidR="00995C95" w:rsidRDefault="00D927DC" w:rsidP="00D74933">
            <w:pPr>
              <w:tabs>
                <w:tab w:val="left" w:pos="720"/>
              </w:tabs>
              <w:contextualSpacing/>
              <w:rPr>
                <w:rFonts w:ascii="Calibri" w:eastAsia="Times New Roman" w:hAnsi="Calibri"/>
                <w:noProof/>
              </w:rPr>
            </w:pPr>
            <w:r>
              <w:rPr>
                <w:rFonts w:ascii="Calibri" w:eastAsia="Times New Roman" w:hAnsi="Calibri"/>
                <w:noProof/>
              </w:rPr>
              <w:t xml:space="preserve">Email </w:t>
            </w:r>
            <w:r w:rsidR="00995C95" w:rsidRPr="001A2C60">
              <w:rPr>
                <w:rFonts w:ascii="Calibri" w:eastAsia="Times New Roman" w:hAnsi="Calibri"/>
                <w:noProof/>
              </w:rPr>
              <w:t>ord</w:t>
            </w:r>
            <w:r>
              <w:rPr>
                <w:rFonts w:ascii="Calibri" w:eastAsia="Times New Roman" w:hAnsi="Calibri"/>
                <w:noProof/>
              </w:rPr>
              <w:t>er</w:t>
            </w:r>
            <w:r w:rsidR="00995C95" w:rsidRPr="001A2C60">
              <w:rPr>
                <w:rFonts w:ascii="Calibri" w:eastAsia="Times New Roman" w:hAnsi="Calibri"/>
                <w:noProof/>
              </w:rPr>
              <w:t>: </w:t>
            </w:r>
            <w:hyperlink r:id="rId6" w:history="1">
              <w:r w:rsidR="00995C95" w:rsidRPr="00E1426D">
                <w:rPr>
                  <w:rStyle w:val="Hyperlink"/>
                  <w:rFonts w:ascii="Calibri" w:eastAsia="Times New Roman" w:hAnsi="Calibri"/>
                  <w:noProof/>
                  <w:color w:val="auto"/>
                </w:rPr>
                <w:t>sporders@standardprocess.com</w:t>
              </w:r>
            </w:hyperlink>
          </w:p>
          <w:p w:rsidR="00995C95" w:rsidRPr="00E1426D" w:rsidRDefault="00E6472E" w:rsidP="00D74933">
            <w:pPr>
              <w:tabs>
                <w:tab w:val="left" w:pos="720"/>
              </w:tabs>
              <w:contextualSpacing/>
              <w:rPr>
                <w:rFonts w:ascii="Calibri" w:eastAsia="Times New Roman" w:hAnsi="Calibri"/>
                <w:noProof/>
              </w:rPr>
            </w:pPr>
            <w:hyperlink r:id="rId7" w:history="1">
              <w:r w:rsidR="002D05A1">
                <w:rPr>
                  <w:rStyle w:val="Hyperlink"/>
                  <w:rFonts w:ascii="Calibri" w:eastAsia="Times New Roman" w:hAnsi="Calibri"/>
                  <w:noProof/>
                  <w:color w:val="auto"/>
                </w:rPr>
                <w:t>kim@kimsperryconsulting.com</w:t>
              </w:r>
            </w:hyperlink>
          </w:p>
          <w:p w:rsidR="0067775D" w:rsidRPr="001B7A02" w:rsidRDefault="0067775D" w:rsidP="00D74933">
            <w:pPr>
              <w:tabs>
                <w:tab w:val="left" w:pos="720"/>
              </w:tabs>
              <w:contextualSpacing/>
              <w:rPr>
                <w:rFonts w:ascii="Calibri" w:eastAsia="Times New Roman" w:hAnsi="Calibri"/>
                <w:noProof/>
                <w:color w:val="1F497D"/>
              </w:rPr>
            </w:pPr>
            <w:r>
              <w:rPr>
                <w:rFonts w:ascii="Calibri" w:eastAsia="Times New Roman" w:hAnsi="Calibri"/>
                <w:noProof/>
              </w:rPr>
              <w:t>www.kimsperryconsulting.com</w:t>
            </w:r>
          </w:p>
        </w:tc>
      </w:tr>
    </w:tbl>
    <w:p w:rsidR="00E6472E" w:rsidRDefault="00E6472E" w:rsidP="00E6472E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POWERFUL PROTECTIVE effects of Ashwagandha Forte (M1740)</w:t>
      </w:r>
    </w:p>
    <w:p w:rsidR="002D05A1" w:rsidRDefault="002D05A1" w:rsidP="002D05A1">
      <w:pPr>
        <w:rPr>
          <w:rFonts w:ascii="Arial Narrow" w:hAnsi="Arial Narrow"/>
          <w:b/>
          <w:bCs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/>
          <w:bCs/>
          <w:sz w:val="20"/>
          <w:szCs w:val="20"/>
        </w:rPr>
        <w:t>Indications for use:</w:t>
      </w:r>
    </w:p>
    <w:p w:rsidR="008A21B4" w:rsidRDefault="008A21B4" w:rsidP="002D05A1">
      <w:pPr>
        <w:rPr>
          <w:rFonts w:ascii="Arial Narrow" w:hAnsi="Arial Narrow"/>
          <w:b/>
          <w:bCs/>
          <w:sz w:val="20"/>
          <w:szCs w:val="20"/>
        </w:rPr>
      </w:pPr>
    </w:p>
    <w:p w:rsidR="002D05A1" w:rsidRPr="008A21B4" w:rsidRDefault="002D05A1" w:rsidP="000367B5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</w:rPr>
      </w:pPr>
      <w:r w:rsidRPr="008A21B4">
        <w:rPr>
          <w:rFonts w:ascii="Arial Narrow" w:hAnsi="Arial Narrow"/>
          <w:b/>
          <w:bCs/>
          <w:sz w:val="20"/>
          <w:szCs w:val="20"/>
        </w:rPr>
        <w:t>Anxiety</w:t>
      </w:r>
      <w:r w:rsidR="008A21B4">
        <w:rPr>
          <w:rFonts w:ascii="Arial Narrow" w:hAnsi="Arial Narrow"/>
          <w:b/>
          <w:bCs/>
          <w:sz w:val="20"/>
          <w:szCs w:val="20"/>
        </w:rPr>
        <w:t xml:space="preserve"> &amp; depression</w:t>
      </w:r>
    </w:p>
    <w:p w:rsidR="00D01313" w:rsidRDefault="006678BB" w:rsidP="002D05A1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Hypothyroidism-b</w:t>
      </w:r>
      <w:r w:rsidR="00D01313">
        <w:rPr>
          <w:rFonts w:ascii="Arial Narrow" w:hAnsi="Arial Narrow"/>
          <w:b/>
          <w:bCs/>
          <w:sz w:val="20"/>
          <w:szCs w:val="20"/>
        </w:rPr>
        <w:t xml:space="preserve">oosts T4 </w:t>
      </w:r>
      <w:r w:rsidR="000266F9">
        <w:rPr>
          <w:rFonts w:ascii="Arial Narrow" w:hAnsi="Arial Narrow"/>
          <w:b/>
          <w:bCs/>
          <w:sz w:val="20"/>
          <w:szCs w:val="20"/>
        </w:rPr>
        <w:t xml:space="preserve">&amp; T3 </w:t>
      </w:r>
      <w:r w:rsidR="00D01313">
        <w:rPr>
          <w:rFonts w:ascii="Arial Narrow" w:hAnsi="Arial Narrow"/>
          <w:b/>
          <w:bCs/>
          <w:sz w:val="20"/>
          <w:szCs w:val="20"/>
        </w:rPr>
        <w:t xml:space="preserve">levels </w:t>
      </w:r>
    </w:p>
    <w:p w:rsidR="0006509B" w:rsidRDefault="008A21B4" w:rsidP="0006509B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Stress tonic &amp; energy booster</w:t>
      </w:r>
      <w:r w:rsidR="0006509B">
        <w:rPr>
          <w:rFonts w:ascii="Arial Narrow" w:hAnsi="Arial Narrow"/>
          <w:b/>
          <w:bCs/>
          <w:sz w:val="20"/>
          <w:szCs w:val="20"/>
        </w:rPr>
        <w:t>/</w:t>
      </w:r>
      <w:r w:rsidR="0006509B" w:rsidRPr="0006509B">
        <w:rPr>
          <w:rFonts w:ascii="Arial Narrow" w:hAnsi="Arial Narrow"/>
          <w:b/>
          <w:bCs/>
          <w:sz w:val="20"/>
          <w:szCs w:val="20"/>
        </w:rPr>
        <w:t xml:space="preserve"> </w:t>
      </w:r>
      <w:r w:rsidR="0006509B">
        <w:rPr>
          <w:rFonts w:ascii="Arial Narrow" w:hAnsi="Arial Narrow"/>
          <w:b/>
          <w:bCs/>
          <w:sz w:val="20"/>
          <w:szCs w:val="20"/>
        </w:rPr>
        <w:t>Balances cortisol levels</w:t>
      </w:r>
    </w:p>
    <w:p w:rsidR="001176FB" w:rsidRPr="001176FB" w:rsidRDefault="001176FB" w:rsidP="001176FB">
      <w:pPr>
        <w:rPr>
          <w:rFonts w:ascii="Arial Narrow" w:hAnsi="Arial Narrow"/>
          <w:b/>
          <w:bCs/>
          <w:sz w:val="20"/>
          <w:szCs w:val="20"/>
        </w:rPr>
      </w:pPr>
    </w:p>
    <w:p w:rsidR="00D5004B" w:rsidRPr="00BE3793" w:rsidRDefault="00BE3793">
      <w:pPr>
        <w:rPr>
          <w:u w:val="single"/>
        </w:rPr>
      </w:pPr>
      <w:r>
        <w:rPr>
          <w:u w:val="single"/>
        </w:rPr>
        <w:t xml:space="preserve">Alcohol Withdrawal epilepsy, </w:t>
      </w:r>
      <w:r w:rsidR="008A05FB" w:rsidRPr="00BE3793">
        <w:rPr>
          <w:u w:val="single"/>
        </w:rPr>
        <w:t>Anxiety &amp; Depression:</w:t>
      </w:r>
    </w:p>
    <w:p w:rsidR="00BE3793" w:rsidRDefault="00BE3793" w:rsidP="00BE3793">
      <w:pPr>
        <w:rPr>
          <w:rFonts w:ascii="Arial" w:hAnsi="Arial" w:cs="Arial"/>
          <w:color w:val="444444"/>
          <w:shd w:val="clear" w:color="auto" w:fill="FFFFFF"/>
        </w:rPr>
      </w:pPr>
      <w:r w:rsidRPr="00161686">
        <w:rPr>
          <w:rFonts w:ascii="Arial" w:hAnsi="Arial" w:cs="Arial"/>
          <w:color w:val="444444"/>
          <w:shd w:val="clear" w:color="auto" w:fill="FFFFFF"/>
        </w:rPr>
        <w:t>500 mg Ashwaganda has suppressed the PTZ kindling (acute and severe) seizures of alcohol withdrawal in animals.</w:t>
      </w:r>
      <w:r>
        <w:rPr>
          <w:rFonts w:ascii="Arial" w:hAnsi="Arial" w:cs="Arial"/>
          <w:color w:val="444444"/>
          <w:shd w:val="clear" w:color="auto" w:fill="FFFFFF"/>
        </w:rPr>
        <w:t xml:space="preserve"> In validated models of anxiety and depression, Ashwagandha has been demonstrated to be </w:t>
      </w:r>
      <w:r w:rsidRPr="003F0982">
        <w:rPr>
          <w:rFonts w:ascii="Arial" w:hAnsi="Arial" w:cs="Arial"/>
          <w:color w:val="444444"/>
          <w:shd w:val="clear" w:color="auto" w:fill="FFFFFF"/>
        </w:rPr>
        <w:t>as effective as some tranquilizers and antidepressant drugs</w:t>
      </w:r>
      <w:r>
        <w:rPr>
          <w:rFonts w:ascii="Arial" w:hAnsi="Arial" w:cs="Arial"/>
          <w:color w:val="444444"/>
          <w:shd w:val="clear" w:color="auto" w:fill="FFFFFF"/>
        </w:rPr>
        <w:t xml:space="preserve">. </w:t>
      </w:r>
    </w:p>
    <w:p w:rsidR="0006509B" w:rsidRDefault="0006509B" w:rsidP="00BE3793">
      <w:pPr>
        <w:rPr>
          <w:rFonts w:ascii="Arial" w:hAnsi="Arial" w:cs="Arial"/>
          <w:color w:val="444444"/>
          <w:shd w:val="clear" w:color="auto" w:fill="FFFFFF"/>
        </w:rPr>
      </w:pPr>
    </w:p>
    <w:p w:rsidR="00DA6558" w:rsidRDefault="0006509B" w:rsidP="0006509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Oral administration of Ashwagandha for five days suggested anxiety-relieving effects similar to those achieved by the anti-anxiety drug lorazepam (Ativan®), and antidepressant effects similar to those of the prescription antidepressant drug imipramine (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Tofranil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®) </w:t>
      </w:r>
    </w:p>
    <w:p w:rsidR="00965759" w:rsidRDefault="00965759" w:rsidP="0006509B">
      <w:pPr>
        <w:rPr>
          <w:rFonts w:ascii="Arial" w:hAnsi="Arial" w:cs="Arial"/>
          <w:color w:val="444444"/>
          <w:shd w:val="clear" w:color="auto" w:fill="FFFFFF"/>
        </w:rPr>
      </w:pPr>
    </w:p>
    <w:p w:rsidR="00965759" w:rsidRPr="003F0982" w:rsidRDefault="00965759" w:rsidP="00965759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Anti-anxiety drugs such as lorazepam fall into the class of </w:t>
      </w:r>
      <w:r w:rsidRPr="003F0982">
        <w:rPr>
          <w:rFonts w:ascii="Arial" w:hAnsi="Arial" w:cs="Arial"/>
          <w:color w:val="444444"/>
          <w:u w:val="single"/>
          <w:shd w:val="clear" w:color="auto" w:fill="FFFFFF"/>
        </w:rPr>
        <w:t>Benzodiazepines.</w:t>
      </w:r>
      <w:r>
        <w:rPr>
          <w:rFonts w:ascii="Arial" w:hAnsi="Arial" w:cs="Arial"/>
          <w:color w:val="444444"/>
          <w:shd w:val="clear" w:color="auto" w:fill="FFFFFF"/>
        </w:rPr>
        <w:t xml:space="preserve"> This class of drug is listed right up there with Cocaine and Heroin as one of the 6</w:t>
      </w:r>
      <w:r w:rsidRPr="00774EE7">
        <w:rPr>
          <w:rFonts w:ascii="Arial" w:hAnsi="Arial" w:cs="Arial"/>
          <w:color w:val="444444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444444"/>
          <w:shd w:val="clear" w:color="auto" w:fill="FFFFFF"/>
        </w:rPr>
        <w:t xml:space="preserve"> hardest drugs to quit! </w:t>
      </w:r>
      <w:r w:rsidR="0015459C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3F0982">
        <w:rPr>
          <w:rFonts w:ascii="Arial" w:hAnsi="Arial" w:cs="Arial"/>
          <w:color w:val="444444"/>
          <w:shd w:val="clear" w:color="auto" w:fill="FFFFFF"/>
        </w:rPr>
        <w:t xml:space="preserve">If a person has been on benzos longer than 2 weeks, it’s suggested not to stop abruptly. One of the most followed guidelines was issued by the National Center for </w:t>
      </w:r>
      <w:r w:rsidR="0015459C">
        <w:rPr>
          <w:rFonts w:ascii="Arial" w:hAnsi="Arial" w:cs="Arial"/>
          <w:color w:val="444444"/>
          <w:shd w:val="clear" w:color="auto" w:fill="FFFFFF"/>
        </w:rPr>
        <w:t xml:space="preserve">PTSD </w:t>
      </w:r>
      <w:r w:rsidRPr="003F0982">
        <w:rPr>
          <w:rFonts w:ascii="Arial" w:hAnsi="Arial" w:cs="Arial"/>
          <w:color w:val="444444"/>
          <w:shd w:val="clear" w:color="auto" w:fill="FFFFFF"/>
        </w:rPr>
        <w:t>suggest an initial reduction of 25-30% for high dosage chronic users, followed by a 5-10% daily to weekly reduced dose.</w:t>
      </w:r>
    </w:p>
    <w:p w:rsidR="00DA6558" w:rsidRDefault="00DA6558" w:rsidP="0006509B">
      <w:pPr>
        <w:rPr>
          <w:rFonts w:ascii="Arial" w:hAnsi="Arial" w:cs="Arial"/>
          <w:color w:val="444444"/>
          <w:shd w:val="clear" w:color="auto" w:fill="FFFFFF"/>
        </w:rPr>
      </w:pPr>
    </w:p>
    <w:p w:rsidR="00DA6558" w:rsidRDefault="00DA6558" w:rsidP="00DA6558">
      <w:pPr>
        <w:rPr>
          <w:rFonts w:ascii="Arial" w:hAnsi="Arial" w:cs="Arial"/>
          <w:color w:val="444444"/>
          <w:shd w:val="clear" w:color="auto" w:fill="FFFFFF"/>
        </w:rPr>
      </w:pPr>
      <w:r w:rsidRPr="003A6FE0">
        <w:rPr>
          <w:rFonts w:ascii="Arial" w:hAnsi="Arial" w:cs="Arial"/>
          <w:color w:val="444444"/>
          <w:shd w:val="clear" w:color="auto" w:fill="FFFFFF"/>
        </w:rPr>
        <w:t xml:space="preserve">Ashwagandha Forte </w:t>
      </w:r>
      <w:r w:rsidRPr="003A6FE0">
        <w:rPr>
          <w:rFonts w:ascii="Arial" w:hAnsi="Arial" w:cs="Arial"/>
          <w:color w:val="444444"/>
          <w:shd w:val="clear" w:color="auto" w:fill="FFFFFF"/>
        </w:rPr>
        <w:t xml:space="preserve">can be considered </w:t>
      </w:r>
      <w:r w:rsidRPr="003A6FE0">
        <w:rPr>
          <w:rFonts w:ascii="Arial" w:hAnsi="Arial" w:cs="Arial"/>
          <w:color w:val="444444"/>
          <w:shd w:val="clear" w:color="auto" w:fill="FFFFFF"/>
        </w:rPr>
        <w:t xml:space="preserve">as a safe and very effective way to support Nervous System health without any scary, addictive side effects. It contains 10 mg </w:t>
      </w:r>
      <w:r w:rsidRPr="006F0FC5">
        <w:rPr>
          <w:rFonts w:ascii="Arial" w:hAnsi="Arial" w:cs="Arial"/>
          <w:color w:val="444444"/>
          <w:shd w:val="clear" w:color="auto" w:fill="FFFFFF"/>
        </w:rPr>
        <w:t>withanolides</w:t>
      </w:r>
      <w:r>
        <w:rPr>
          <w:rFonts w:ascii="Arial" w:hAnsi="Arial" w:cs="Arial"/>
          <w:color w:val="444444"/>
          <w:shd w:val="clear" w:color="auto" w:fill="FFFFFF"/>
        </w:rPr>
        <w:t xml:space="preserve"> per tablet. Ashwagandha 1:1 extract contains the same amount of withanolides</w:t>
      </w:r>
      <w:r w:rsidR="003A6FE0">
        <w:rPr>
          <w:rFonts w:ascii="Arial" w:hAnsi="Arial" w:cs="Arial"/>
          <w:color w:val="444444"/>
          <w:shd w:val="clear" w:color="auto" w:fill="FFFFFF"/>
        </w:rPr>
        <w:t xml:space="preserve"> per 5ml (1 t)</w:t>
      </w:r>
      <w:r>
        <w:rPr>
          <w:rFonts w:ascii="Arial" w:hAnsi="Arial" w:cs="Arial"/>
          <w:color w:val="444444"/>
          <w:shd w:val="clear" w:color="auto" w:fill="FFFFFF"/>
        </w:rPr>
        <w:t>. It’s 4.5x’s stronger than Ashwagandha Cx (formerly Withania Cx).</w:t>
      </w:r>
    </w:p>
    <w:p w:rsidR="00DD2111" w:rsidRDefault="00DD2111" w:rsidP="00DA6558">
      <w:pPr>
        <w:rPr>
          <w:rFonts w:ascii="Arial" w:hAnsi="Arial" w:cs="Arial"/>
          <w:color w:val="444444"/>
          <w:shd w:val="clear" w:color="auto" w:fill="FFFFFF"/>
        </w:rPr>
      </w:pPr>
    </w:p>
    <w:p w:rsidR="00DD2111" w:rsidRPr="004653F3" w:rsidRDefault="004653F3" w:rsidP="00DD2111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Ashwagandha,</w:t>
      </w:r>
      <w:r w:rsidRPr="004653F3">
        <w:rPr>
          <w:rFonts w:ascii="Arial" w:hAnsi="Arial" w:cs="Arial"/>
          <w:color w:val="444444"/>
          <w:shd w:val="clear" w:color="auto" w:fill="FFFFFF"/>
        </w:rPr>
        <w:t xml:space="preserve"> a traditional medicine in Ayurveda, is often prescribed for thyroid dysfunctions.</w:t>
      </w:r>
      <w:r w:rsidRPr="004653F3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DD2111" w:rsidRPr="004653F3">
        <w:rPr>
          <w:rFonts w:ascii="Arial" w:hAnsi="Arial" w:cs="Arial"/>
          <w:color w:val="444444"/>
          <w:shd w:val="clear" w:color="auto" w:fill="FFFFFF"/>
        </w:rPr>
        <w:t>Significantly boosted T4 (up to 111%) in experimental models- T3 was also increased, but to a lesser extent</w:t>
      </w:r>
    </w:p>
    <w:p w:rsidR="00DA6558" w:rsidRDefault="00DA6558" w:rsidP="0006509B">
      <w:pPr>
        <w:rPr>
          <w:rFonts w:ascii="Arial" w:hAnsi="Arial" w:cs="Arial"/>
          <w:color w:val="444444"/>
          <w:shd w:val="clear" w:color="auto" w:fill="FFFFFF"/>
        </w:rPr>
      </w:pPr>
    </w:p>
    <w:p w:rsidR="00DA6558" w:rsidRDefault="00DA6558" w:rsidP="00DA6558">
      <w:pPr>
        <w:rPr>
          <w:rFonts w:ascii="Arial" w:hAnsi="Arial" w:cs="Arial"/>
          <w:color w:val="444444"/>
          <w:shd w:val="clear" w:color="auto" w:fill="FFFFFF"/>
        </w:rPr>
      </w:pPr>
      <w:r w:rsidRPr="00DA6558">
        <w:rPr>
          <w:rFonts w:ascii="Arial" w:hAnsi="Arial" w:cs="Arial"/>
          <w:color w:val="444444"/>
          <w:u w:val="single"/>
          <w:shd w:val="clear" w:color="auto" w:fill="FFFFFF"/>
        </w:rPr>
        <w:t>Suggested use: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="0006509B">
        <w:rPr>
          <w:rFonts w:ascii="Arial" w:hAnsi="Arial" w:cs="Arial"/>
          <w:color w:val="444444"/>
          <w:shd w:val="clear" w:color="auto" w:fill="FFFFFF"/>
        </w:rPr>
        <w:t>T</w:t>
      </w:r>
      <w:r w:rsidR="0006509B" w:rsidRPr="006F0FC5">
        <w:rPr>
          <w:rFonts w:ascii="Arial" w:hAnsi="Arial" w:cs="Arial"/>
          <w:color w:val="444444"/>
          <w:shd w:val="clear" w:color="auto" w:fill="FFFFFF"/>
        </w:rPr>
        <w:t>here is clinical evidence of change when taking 20 or 30 mg of withanolides</w:t>
      </w:r>
      <w:r w:rsidR="0006509B">
        <w:rPr>
          <w:rFonts w:ascii="Arial" w:hAnsi="Arial" w:cs="Arial"/>
          <w:color w:val="444444"/>
          <w:shd w:val="clear" w:color="auto" w:fill="FFFFFF"/>
        </w:rPr>
        <w:t xml:space="preserve"> for 60 days. </w:t>
      </w:r>
      <w:r w:rsidRPr="00161686">
        <w:rPr>
          <w:rFonts w:ascii="Arial" w:hAnsi="Arial" w:cs="Arial"/>
          <w:color w:val="444444"/>
          <w:shd w:val="clear" w:color="auto" w:fill="FFFFFF"/>
        </w:rPr>
        <w:t xml:space="preserve">Withania somnifera (Ashwagandha) root extract is statistically efficacious at 1 gram (1,000 mg) per day after 2 weeks and even more so after 6 weeks of treatment. </w:t>
      </w:r>
    </w:p>
    <w:p w:rsidR="0006509B" w:rsidRDefault="0006509B" w:rsidP="0006509B">
      <w:pPr>
        <w:rPr>
          <w:rFonts w:ascii="Arial" w:hAnsi="Arial" w:cs="Arial"/>
          <w:color w:val="444444"/>
          <w:shd w:val="clear" w:color="auto" w:fill="FFFFFF"/>
        </w:rPr>
      </w:pPr>
    </w:p>
    <w:p w:rsidR="0006509B" w:rsidRDefault="00DA6558" w:rsidP="0006509B">
      <w:pPr>
        <w:rPr>
          <w:rFonts w:ascii="Arial" w:hAnsi="Arial" w:cs="Arial"/>
          <w:color w:val="444444"/>
          <w:shd w:val="clear" w:color="auto" w:fill="FFFFFF"/>
        </w:rPr>
      </w:pPr>
      <w:r w:rsidRPr="00DA6558">
        <w:rPr>
          <w:rFonts w:ascii="Arial" w:hAnsi="Arial" w:cs="Arial"/>
          <w:color w:val="444444"/>
          <w:u w:val="single"/>
          <w:shd w:val="clear" w:color="auto" w:fill="FFFFFF"/>
        </w:rPr>
        <w:t>Safety: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="00125AC4">
        <w:rPr>
          <w:rFonts w:ascii="Arial" w:hAnsi="Arial" w:cs="Arial"/>
          <w:color w:val="444444"/>
          <w:shd w:val="clear" w:color="auto" w:fill="FFFFFF"/>
        </w:rPr>
        <w:t xml:space="preserve">No known contraindications- </w:t>
      </w:r>
      <w:r w:rsidRPr="00161686">
        <w:rPr>
          <w:rFonts w:ascii="Arial" w:hAnsi="Arial" w:cs="Arial"/>
          <w:color w:val="444444"/>
          <w:shd w:val="clear" w:color="auto" w:fill="FFFFFF"/>
        </w:rPr>
        <w:t>It has also been found to be safe to use while on SSRIs.</w:t>
      </w:r>
    </w:p>
    <w:p w:rsidR="00BE3793" w:rsidRDefault="00BE3793" w:rsidP="00BE3793">
      <w:pPr>
        <w:rPr>
          <w:rFonts w:ascii="Arial" w:hAnsi="Arial" w:cs="Arial"/>
          <w:color w:val="444444"/>
          <w:shd w:val="clear" w:color="auto" w:fill="FFFFFF"/>
        </w:rPr>
      </w:pPr>
    </w:p>
    <w:p w:rsidR="004653F3" w:rsidRDefault="004653F3" w:rsidP="00BE3793">
      <w:pPr>
        <w:rPr>
          <w:color w:val="444444"/>
          <w:sz w:val="16"/>
          <w:szCs w:val="16"/>
          <w:shd w:val="clear" w:color="auto" w:fill="FFFFFF"/>
        </w:rPr>
      </w:pPr>
      <w:r w:rsidRPr="004653F3">
        <w:rPr>
          <w:color w:val="444444"/>
          <w:sz w:val="16"/>
          <w:szCs w:val="16"/>
          <w:shd w:val="clear" w:color="auto" w:fill="FFFFFF"/>
        </w:rPr>
        <w:t xml:space="preserve">https://pubmed.ncbi.nlm.nih.gov/28829155/ </w:t>
      </w:r>
    </w:p>
    <w:p w:rsidR="00BE3793" w:rsidRPr="00161686" w:rsidRDefault="00BE3793" w:rsidP="00BE3793">
      <w:pPr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  <w:hyperlink r:id="rId8" w:history="1">
        <w:r w:rsidRPr="00161686">
          <w:rPr>
            <w:color w:val="444444"/>
            <w:sz w:val="16"/>
            <w:szCs w:val="16"/>
            <w:shd w:val="clear" w:color="auto" w:fill="FFFFFF"/>
          </w:rPr>
          <w:t>https://www.sciencedirect.com/science/article/abs/pii/S2222180812602795</w:t>
        </w:r>
      </w:hyperlink>
    </w:p>
    <w:p w:rsidR="00BE3793" w:rsidRDefault="00BE3793" w:rsidP="00BE3793">
      <w:pPr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  <w:r w:rsidRPr="000C0BD2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SK, Bhattacharya A, </w:t>
      </w:r>
      <w:proofErr w:type="spellStart"/>
      <w:r w:rsidRPr="000C0BD2">
        <w:rPr>
          <w:rFonts w:ascii="Arial" w:hAnsi="Arial" w:cs="Arial"/>
          <w:color w:val="444444"/>
          <w:sz w:val="16"/>
          <w:szCs w:val="16"/>
          <w:shd w:val="clear" w:color="auto" w:fill="FFFFFF"/>
        </w:rPr>
        <w:t>Sairam</w:t>
      </w:r>
      <w:proofErr w:type="spellEnd"/>
      <w:r w:rsidRPr="000C0BD2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K, </w:t>
      </w:r>
      <w:proofErr w:type="spellStart"/>
      <w:r w:rsidRPr="000C0BD2">
        <w:rPr>
          <w:rFonts w:ascii="Arial" w:hAnsi="Arial" w:cs="Arial"/>
          <w:color w:val="444444"/>
          <w:sz w:val="16"/>
          <w:szCs w:val="16"/>
          <w:shd w:val="clear" w:color="auto" w:fill="FFFFFF"/>
        </w:rPr>
        <w:t>Ghosal</w:t>
      </w:r>
      <w:proofErr w:type="spellEnd"/>
      <w:r w:rsidRPr="000C0BD2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S. Anxiolytic-antidepressant activity of Withania somnifera </w:t>
      </w:r>
      <w:proofErr w:type="spellStart"/>
      <w:r w:rsidRPr="000C0BD2">
        <w:rPr>
          <w:rFonts w:ascii="Arial" w:hAnsi="Arial" w:cs="Arial"/>
          <w:color w:val="444444"/>
          <w:sz w:val="16"/>
          <w:szCs w:val="16"/>
          <w:shd w:val="clear" w:color="auto" w:fill="FFFFFF"/>
        </w:rPr>
        <w:t>glycowithanolides</w:t>
      </w:r>
      <w:proofErr w:type="spellEnd"/>
      <w:r w:rsidRPr="000C0BD2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: an experimental study. </w:t>
      </w:r>
      <w:proofErr w:type="spellStart"/>
      <w:r w:rsidRPr="000C0BD2">
        <w:rPr>
          <w:rFonts w:ascii="Arial" w:hAnsi="Arial" w:cs="Arial"/>
          <w:color w:val="444444"/>
          <w:sz w:val="16"/>
          <w:szCs w:val="16"/>
          <w:shd w:val="clear" w:color="auto" w:fill="FFFFFF"/>
        </w:rPr>
        <w:t>Phytomedicine</w:t>
      </w:r>
      <w:proofErr w:type="spellEnd"/>
      <w:r w:rsidRPr="000C0BD2">
        <w:rPr>
          <w:rFonts w:ascii="Arial" w:hAnsi="Arial" w:cs="Arial"/>
          <w:color w:val="444444"/>
          <w:sz w:val="16"/>
          <w:szCs w:val="16"/>
          <w:shd w:val="clear" w:color="auto" w:fill="FFFFFF"/>
        </w:rPr>
        <w:t>. 2000 Dec</w:t>
      </w:r>
      <w:proofErr w:type="gramStart"/>
      <w:r w:rsidRPr="000C0BD2">
        <w:rPr>
          <w:rFonts w:ascii="Arial" w:hAnsi="Arial" w:cs="Arial"/>
          <w:color w:val="444444"/>
          <w:sz w:val="16"/>
          <w:szCs w:val="16"/>
          <w:shd w:val="clear" w:color="auto" w:fill="FFFFFF"/>
        </w:rPr>
        <w:t>;7</w:t>
      </w:r>
      <w:proofErr w:type="gramEnd"/>
      <w:r w:rsidRPr="000C0BD2">
        <w:rPr>
          <w:rFonts w:ascii="Arial" w:hAnsi="Arial" w:cs="Arial"/>
          <w:color w:val="444444"/>
          <w:sz w:val="16"/>
          <w:szCs w:val="16"/>
          <w:shd w:val="clear" w:color="auto" w:fill="FFFFFF"/>
        </w:rPr>
        <w:t>(6):463-9.</w:t>
      </w:r>
    </w:p>
    <w:p w:rsidR="00BE3793" w:rsidRPr="00E1426D" w:rsidRDefault="00BE3793" w:rsidP="00BE3793">
      <w:pPr>
        <w:rPr>
          <w:rFonts w:ascii="Arial" w:hAnsi="Arial" w:cs="Arial"/>
          <w:sz w:val="16"/>
          <w:szCs w:val="16"/>
          <w:shd w:val="clear" w:color="auto" w:fill="FFFFFF"/>
        </w:rPr>
      </w:pPr>
      <w:hyperlink r:id="rId9" w:history="1">
        <w:r w:rsidRPr="00E1426D">
          <w:rPr>
            <w:rStyle w:val="Hyperlink"/>
            <w:rFonts w:ascii="Arial" w:hAnsi="Arial" w:cs="Arial"/>
            <w:color w:val="auto"/>
            <w:sz w:val="16"/>
            <w:szCs w:val="16"/>
            <w:shd w:val="clear" w:color="auto" w:fill="FFFFFF"/>
          </w:rPr>
          <w:t>https://pubmed.ncbi.nlm.nih.gov/11194174/</w:t>
        </w:r>
      </w:hyperlink>
    </w:p>
    <w:p w:rsidR="00E570DC" w:rsidRDefault="00BE3793" w:rsidP="003F6C9A">
      <w:r w:rsidRPr="00774EE7">
        <w:rPr>
          <w:rFonts w:ascii="Arial" w:hAnsi="Arial" w:cs="Arial"/>
          <w:color w:val="444444"/>
          <w:sz w:val="16"/>
          <w:szCs w:val="16"/>
          <w:shd w:val="clear" w:color="auto" w:fill="FFFFFF"/>
        </w:rPr>
        <w:t>https://americanaddictioncenters.org/adult-addiction-treatment-programs/hardest-quit</w:t>
      </w:r>
    </w:p>
    <w:sectPr w:rsidR="00E570DC" w:rsidSect="00F722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D0D50"/>
    <w:multiLevelType w:val="hybridMultilevel"/>
    <w:tmpl w:val="A00EB714"/>
    <w:lvl w:ilvl="0" w:tplc="25488D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94A5F4">
      <w:start w:val="63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000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CC5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42FC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C83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ECE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2A7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66C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A2D40"/>
    <w:multiLevelType w:val="hybridMultilevel"/>
    <w:tmpl w:val="535670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0"/>
    <w:rsid w:val="00001E92"/>
    <w:rsid w:val="000266F9"/>
    <w:rsid w:val="00040135"/>
    <w:rsid w:val="00046061"/>
    <w:rsid w:val="0006509B"/>
    <w:rsid w:val="000B4DED"/>
    <w:rsid w:val="000B76DF"/>
    <w:rsid w:val="000C0BD2"/>
    <w:rsid w:val="001176FB"/>
    <w:rsid w:val="00125AC4"/>
    <w:rsid w:val="001421A7"/>
    <w:rsid w:val="0015459C"/>
    <w:rsid w:val="00161686"/>
    <w:rsid w:val="00164CE5"/>
    <w:rsid w:val="00207459"/>
    <w:rsid w:val="00246B5F"/>
    <w:rsid w:val="002541F6"/>
    <w:rsid w:val="002964E4"/>
    <w:rsid w:val="002D05A1"/>
    <w:rsid w:val="00387D5E"/>
    <w:rsid w:val="003A6FE0"/>
    <w:rsid w:val="003F0982"/>
    <w:rsid w:val="003F6C9A"/>
    <w:rsid w:val="00413807"/>
    <w:rsid w:val="00454C64"/>
    <w:rsid w:val="004653F3"/>
    <w:rsid w:val="00467D8D"/>
    <w:rsid w:val="00487706"/>
    <w:rsid w:val="005576E9"/>
    <w:rsid w:val="005A5ADC"/>
    <w:rsid w:val="005D40BC"/>
    <w:rsid w:val="0060546F"/>
    <w:rsid w:val="006150A8"/>
    <w:rsid w:val="006311B7"/>
    <w:rsid w:val="006678BB"/>
    <w:rsid w:val="0067775D"/>
    <w:rsid w:val="006D65BC"/>
    <w:rsid w:val="006F00B1"/>
    <w:rsid w:val="006F0FC5"/>
    <w:rsid w:val="00711738"/>
    <w:rsid w:val="00756091"/>
    <w:rsid w:val="00774EE7"/>
    <w:rsid w:val="007C6BC0"/>
    <w:rsid w:val="00856232"/>
    <w:rsid w:val="0086587C"/>
    <w:rsid w:val="00887BA7"/>
    <w:rsid w:val="008A05FB"/>
    <w:rsid w:val="008A21B4"/>
    <w:rsid w:val="00965759"/>
    <w:rsid w:val="00995C95"/>
    <w:rsid w:val="009D353C"/>
    <w:rsid w:val="009D6E8C"/>
    <w:rsid w:val="00A25309"/>
    <w:rsid w:val="00AB23CA"/>
    <w:rsid w:val="00B449DD"/>
    <w:rsid w:val="00BA49D6"/>
    <w:rsid w:val="00BC29E6"/>
    <w:rsid w:val="00BC2CF9"/>
    <w:rsid w:val="00BE3793"/>
    <w:rsid w:val="00BF331C"/>
    <w:rsid w:val="00BF5D65"/>
    <w:rsid w:val="00CA4C42"/>
    <w:rsid w:val="00D01313"/>
    <w:rsid w:val="00D06774"/>
    <w:rsid w:val="00D07DDF"/>
    <w:rsid w:val="00D5004B"/>
    <w:rsid w:val="00D54DFB"/>
    <w:rsid w:val="00D927DC"/>
    <w:rsid w:val="00DA6558"/>
    <w:rsid w:val="00DD2111"/>
    <w:rsid w:val="00E1426D"/>
    <w:rsid w:val="00E16D7A"/>
    <w:rsid w:val="00E570DC"/>
    <w:rsid w:val="00E6472E"/>
    <w:rsid w:val="00EA4BF3"/>
    <w:rsid w:val="00F0339C"/>
    <w:rsid w:val="00F14010"/>
    <w:rsid w:val="00F357D5"/>
    <w:rsid w:val="00F7223D"/>
    <w:rsid w:val="00F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43C5B-57F5-4BCF-890A-09D1DC6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8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41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D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D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05A1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222218081260279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perry01@standardproc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ders@standardproces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111941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Sperry</dc:creator>
  <cp:keywords/>
  <dc:description/>
  <cp:lastModifiedBy>Kim Sperry</cp:lastModifiedBy>
  <cp:revision>10</cp:revision>
  <cp:lastPrinted>2021-03-03T17:42:00Z</cp:lastPrinted>
  <dcterms:created xsi:type="dcterms:W3CDTF">2021-06-14T19:22:00Z</dcterms:created>
  <dcterms:modified xsi:type="dcterms:W3CDTF">2021-06-14T19:32:00Z</dcterms:modified>
</cp:coreProperties>
</file>